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2978" w14:textId="2F92CAE8" w:rsidR="00241ADC" w:rsidRDefault="00402413" w:rsidP="00402413">
      <w:pPr>
        <w:jc w:val="center"/>
        <w:rPr>
          <w:b/>
          <w:bCs/>
          <w:sz w:val="24"/>
          <w:szCs w:val="24"/>
        </w:rPr>
      </w:pPr>
      <w:r w:rsidRPr="00402413">
        <w:rPr>
          <w:b/>
          <w:bCs/>
          <w:sz w:val="24"/>
          <w:szCs w:val="24"/>
        </w:rPr>
        <w:t>РЕЗЮМЕТА НА ПУБЛИКАЦИИ ПО КОНКУРС ЗА ДОЦЕНТ</w:t>
      </w:r>
    </w:p>
    <w:p w14:paraId="2D7EE97E" w14:textId="78D05DFD" w:rsidR="00402413" w:rsidRDefault="00402413" w:rsidP="00402413">
      <w:pPr>
        <w:rPr>
          <w:b/>
          <w:bCs/>
          <w:sz w:val="24"/>
          <w:szCs w:val="24"/>
        </w:rPr>
      </w:pPr>
    </w:p>
    <w:p w14:paraId="56010A4E" w14:textId="1C5B6630" w:rsidR="00402413" w:rsidRPr="00402413" w:rsidRDefault="00402413" w:rsidP="00402413">
      <w:pPr>
        <w:rPr>
          <w:b/>
          <w:bCs/>
          <w:sz w:val="24"/>
          <w:szCs w:val="24"/>
        </w:rPr>
      </w:pPr>
      <w:r w:rsidRPr="00402413">
        <w:rPr>
          <w:b/>
          <w:bCs/>
          <w:sz w:val="24"/>
          <w:szCs w:val="24"/>
        </w:rPr>
        <w:t>Публикации  и резюмета извън докторската дисертация</w:t>
      </w:r>
    </w:p>
    <w:p w14:paraId="00F542BC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1. </w:t>
      </w:r>
      <w:proofErr w:type="spellStart"/>
      <w:r w:rsidRPr="00402413">
        <w:rPr>
          <w:sz w:val="24"/>
          <w:szCs w:val="24"/>
        </w:rPr>
        <w:t>Maria</w:t>
      </w:r>
      <w:proofErr w:type="spellEnd"/>
      <w:r w:rsidRPr="00402413">
        <w:rPr>
          <w:sz w:val="24"/>
          <w:szCs w:val="24"/>
        </w:rPr>
        <w:t xml:space="preserve"> S. </w:t>
      </w:r>
      <w:proofErr w:type="spellStart"/>
      <w:r w:rsidRPr="00402413">
        <w:rPr>
          <w:sz w:val="24"/>
          <w:szCs w:val="24"/>
        </w:rPr>
        <w:t>Kamusheva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Nikolay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Gerasimov</w:t>
      </w:r>
      <w:proofErr w:type="spellEnd"/>
      <w:r w:rsidRPr="00402413">
        <w:rPr>
          <w:sz w:val="24"/>
          <w:szCs w:val="24"/>
        </w:rPr>
        <w:t xml:space="preserve">, Guenka I. Petrova. </w:t>
      </w:r>
      <w:proofErr w:type="spellStart"/>
      <w:r w:rsidRPr="00402413">
        <w:rPr>
          <w:sz w:val="24"/>
          <w:szCs w:val="24"/>
        </w:rPr>
        <w:t>Intestinal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Gel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Levodopa</w:t>
      </w:r>
      <w:proofErr w:type="spellEnd"/>
      <w:r w:rsidRPr="00402413">
        <w:rPr>
          <w:sz w:val="24"/>
          <w:szCs w:val="24"/>
        </w:rPr>
        <w:t xml:space="preserve"> + </w:t>
      </w:r>
      <w:proofErr w:type="spellStart"/>
      <w:r w:rsidRPr="00402413">
        <w:rPr>
          <w:sz w:val="24"/>
          <w:szCs w:val="24"/>
        </w:rPr>
        <w:t>Carbidopa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Parkinson’s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Frequent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Prolonged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Akinesia</w:t>
      </w:r>
      <w:proofErr w:type="spellEnd"/>
      <w:r w:rsidRPr="00402413">
        <w:rPr>
          <w:sz w:val="24"/>
          <w:szCs w:val="24"/>
        </w:rPr>
        <w:t xml:space="preserve"> – </w:t>
      </w:r>
      <w:proofErr w:type="spellStart"/>
      <w:r w:rsidRPr="00402413">
        <w:rPr>
          <w:sz w:val="24"/>
          <w:szCs w:val="24"/>
        </w:rPr>
        <w:t>An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Economic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Evaluation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Int</w:t>
      </w:r>
      <w:proofErr w:type="spellEnd"/>
      <w:r w:rsidRPr="00402413">
        <w:rPr>
          <w:sz w:val="24"/>
          <w:szCs w:val="24"/>
        </w:rPr>
        <w:t xml:space="preserve">. J. </w:t>
      </w:r>
      <w:proofErr w:type="spellStart"/>
      <w:r w:rsidRPr="00402413">
        <w:rPr>
          <w:sz w:val="24"/>
          <w:szCs w:val="24"/>
        </w:rPr>
        <w:t>Pharm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Sci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Rev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Res</w:t>
      </w:r>
      <w:proofErr w:type="spellEnd"/>
      <w:r w:rsidRPr="00402413">
        <w:rPr>
          <w:sz w:val="24"/>
          <w:szCs w:val="24"/>
        </w:rPr>
        <w:t>., 2013; 22(1) nᵒ 44: 244-246</w:t>
      </w:r>
    </w:p>
    <w:p w14:paraId="174EF64D" w14:textId="47FE002E" w:rsidR="00402413" w:rsidRDefault="00720051" w:rsidP="0072005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20051">
        <w:rPr>
          <w:sz w:val="24"/>
          <w:szCs w:val="24"/>
        </w:rPr>
        <w:t>There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is</w:t>
      </w:r>
      <w:proofErr w:type="spellEnd"/>
      <w:r w:rsidRPr="00720051">
        <w:rPr>
          <w:sz w:val="24"/>
          <w:szCs w:val="24"/>
        </w:rPr>
        <w:t xml:space="preserve"> a </w:t>
      </w:r>
      <w:proofErr w:type="spellStart"/>
      <w:r w:rsidRPr="00720051">
        <w:rPr>
          <w:sz w:val="24"/>
          <w:szCs w:val="24"/>
        </w:rPr>
        <w:t>small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subgroup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patients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with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rare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form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Parkinson’s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disease</w:t>
      </w:r>
      <w:proofErr w:type="spellEnd"/>
      <w:r w:rsidRPr="00720051">
        <w:rPr>
          <w:sz w:val="24"/>
          <w:szCs w:val="24"/>
        </w:rPr>
        <w:t xml:space="preserve"> (PD) </w:t>
      </w:r>
      <w:proofErr w:type="spellStart"/>
      <w:r w:rsidRPr="00720051">
        <w:rPr>
          <w:sz w:val="24"/>
          <w:szCs w:val="24"/>
        </w:rPr>
        <w:t>characterized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prolonged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akinesia</w:t>
      </w:r>
      <w:proofErr w:type="spellEnd"/>
      <w:r w:rsidRPr="00720051">
        <w:rPr>
          <w:sz w:val="24"/>
          <w:szCs w:val="24"/>
        </w:rPr>
        <w:t xml:space="preserve">, </w:t>
      </w:r>
      <w:proofErr w:type="spellStart"/>
      <w:r w:rsidRPr="00720051">
        <w:rPr>
          <w:sz w:val="24"/>
          <w:szCs w:val="24"/>
        </w:rPr>
        <w:t>which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not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controlled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standard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treatment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infusion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Levodopa</w:t>
      </w:r>
      <w:proofErr w:type="spellEnd"/>
      <w:r w:rsidRPr="00720051">
        <w:rPr>
          <w:sz w:val="24"/>
          <w:szCs w:val="24"/>
        </w:rPr>
        <w:t xml:space="preserve"> + </w:t>
      </w:r>
      <w:proofErr w:type="spellStart"/>
      <w:r w:rsidRPr="00720051">
        <w:rPr>
          <w:sz w:val="24"/>
          <w:szCs w:val="24"/>
        </w:rPr>
        <w:t>Carbidopa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intestinal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gel</w:t>
      </w:r>
      <w:proofErr w:type="spellEnd"/>
      <w:r w:rsidRPr="00720051">
        <w:rPr>
          <w:sz w:val="24"/>
          <w:szCs w:val="24"/>
        </w:rPr>
        <w:t xml:space="preserve">, </w:t>
      </w:r>
      <w:proofErr w:type="spellStart"/>
      <w:r w:rsidRPr="00720051">
        <w:rPr>
          <w:sz w:val="24"/>
          <w:szCs w:val="24"/>
        </w:rPr>
        <w:t>applied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small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intestine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a </w:t>
      </w:r>
      <w:proofErr w:type="spellStart"/>
      <w:r w:rsidRPr="00720051">
        <w:rPr>
          <w:sz w:val="24"/>
          <w:szCs w:val="24"/>
        </w:rPr>
        <w:t>portable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pump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by</w:t>
      </w:r>
      <w:proofErr w:type="spellEnd"/>
      <w:r w:rsidRPr="00720051">
        <w:rPr>
          <w:sz w:val="24"/>
          <w:szCs w:val="24"/>
        </w:rPr>
        <w:t xml:space="preserve"> a </w:t>
      </w:r>
      <w:proofErr w:type="spellStart"/>
      <w:r w:rsidRPr="00720051">
        <w:rPr>
          <w:sz w:val="24"/>
          <w:szCs w:val="24"/>
        </w:rPr>
        <w:t>permanent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tube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via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percutaneous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endoscopic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gastrostomy</w:t>
      </w:r>
      <w:proofErr w:type="spellEnd"/>
      <w:r w:rsidRPr="00720051">
        <w:rPr>
          <w:sz w:val="24"/>
          <w:szCs w:val="24"/>
        </w:rPr>
        <w:t xml:space="preserve">, </w:t>
      </w:r>
      <w:proofErr w:type="spellStart"/>
      <w:r w:rsidRPr="00720051">
        <w:rPr>
          <w:sz w:val="24"/>
          <w:szCs w:val="24"/>
        </w:rPr>
        <w:t>is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alternative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treatment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deep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brain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stimulation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advanced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phase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PD </w:t>
      </w:r>
      <w:proofErr w:type="spellStart"/>
      <w:r w:rsidRPr="00720051">
        <w:rPr>
          <w:sz w:val="24"/>
          <w:szCs w:val="24"/>
        </w:rPr>
        <w:t>associated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with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severe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diskesia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motor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fluctuations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aim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study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was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to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evaluates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economic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characteristics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combination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pharmacotherapy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Levodopa</w:t>
      </w:r>
      <w:proofErr w:type="spellEnd"/>
      <w:r w:rsidRPr="00720051">
        <w:rPr>
          <w:sz w:val="24"/>
          <w:szCs w:val="24"/>
        </w:rPr>
        <w:t xml:space="preserve"> + </w:t>
      </w:r>
      <w:proofErr w:type="spellStart"/>
      <w:r w:rsidRPr="00720051">
        <w:rPr>
          <w:sz w:val="24"/>
          <w:szCs w:val="24"/>
        </w:rPr>
        <w:t>Carbidopa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applied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intestinal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gel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patients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with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rare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form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PD </w:t>
      </w:r>
      <w:proofErr w:type="spellStart"/>
      <w:r w:rsidRPr="00720051">
        <w:rPr>
          <w:sz w:val="24"/>
          <w:szCs w:val="24"/>
        </w:rPr>
        <w:t>in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Bulgaria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study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done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from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perspective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Bulgarian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health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care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system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Cost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analysis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effectiveness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analysis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were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applied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pharmacotherapy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costs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were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calculated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before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after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applying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intestinal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gel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Levodopa</w:t>
      </w:r>
      <w:proofErr w:type="spellEnd"/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+ </w:t>
      </w:r>
      <w:proofErr w:type="spellStart"/>
      <w:r w:rsidRPr="00720051">
        <w:rPr>
          <w:sz w:val="24"/>
          <w:szCs w:val="24"/>
        </w:rPr>
        <w:t>Carbidopa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12 PD </w:t>
      </w:r>
      <w:proofErr w:type="spellStart"/>
      <w:r w:rsidRPr="00720051">
        <w:rPr>
          <w:sz w:val="24"/>
          <w:szCs w:val="24"/>
        </w:rPr>
        <w:t>patients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outcomes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measured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assessing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improvements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Unified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Parkinson’s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Disease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Rating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Scale</w:t>
      </w:r>
      <w:proofErr w:type="spellEnd"/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(UPDRS).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incremental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cost-effectiveness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ratio</w:t>
      </w:r>
      <w:proofErr w:type="spellEnd"/>
      <w:r w:rsidRPr="00720051">
        <w:rPr>
          <w:sz w:val="24"/>
          <w:szCs w:val="24"/>
        </w:rPr>
        <w:t xml:space="preserve"> (ICER) </w:t>
      </w:r>
      <w:proofErr w:type="spellStart"/>
      <w:r w:rsidRPr="00720051">
        <w:rPr>
          <w:sz w:val="24"/>
          <w:szCs w:val="24"/>
        </w:rPr>
        <w:t>which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shows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additional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monthly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costs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for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every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additional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unit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improvement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patient’s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condition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after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treatment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with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intestinal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gel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Levodopa</w:t>
      </w:r>
      <w:proofErr w:type="spellEnd"/>
      <w:r w:rsidRPr="00720051">
        <w:rPr>
          <w:sz w:val="24"/>
          <w:szCs w:val="24"/>
        </w:rPr>
        <w:t xml:space="preserve"> + </w:t>
      </w:r>
      <w:proofErr w:type="spellStart"/>
      <w:r w:rsidRPr="00720051">
        <w:rPr>
          <w:sz w:val="24"/>
          <w:szCs w:val="24"/>
        </w:rPr>
        <w:t>Carbidopa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is</w:t>
      </w:r>
      <w:proofErr w:type="spellEnd"/>
      <w:r w:rsidRPr="00720051">
        <w:rPr>
          <w:sz w:val="24"/>
          <w:szCs w:val="24"/>
        </w:rPr>
        <w:t xml:space="preserve"> 1903.56 BGN </w:t>
      </w:r>
      <w:proofErr w:type="spellStart"/>
      <w:r w:rsidRPr="00720051">
        <w:rPr>
          <w:sz w:val="24"/>
          <w:szCs w:val="24"/>
        </w:rPr>
        <w:t>per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patient</w:t>
      </w:r>
      <w:proofErr w:type="spellEnd"/>
      <w:r w:rsidRPr="00720051">
        <w:rPr>
          <w:sz w:val="24"/>
          <w:szCs w:val="24"/>
        </w:rPr>
        <w:t xml:space="preserve">, </w:t>
      </w:r>
      <w:proofErr w:type="spellStart"/>
      <w:r w:rsidRPr="00720051">
        <w:rPr>
          <w:sz w:val="24"/>
          <w:szCs w:val="24"/>
        </w:rPr>
        <w:t>per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year</w:t>
      </w:r>
      <w:proofErr w:type="spellEnd"/>
      <w:r w:rsidRPr="007200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These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costs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far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below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recommended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threshold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annual</w:t>
      </w:r>
      <w:proofErr w:type="spellEnd"/>
      <w:r w:rsidRPr="00720051">
        <w:rPr>
          <w:sz w:val="24"/>
          <w:szCs w:val="24"/>
        </w:rPr>
        <w:t xml:space="preserve"> GDP </w:t>
      </w:r>
      <w:proofErr w:type="spellStart"/>
      <w:r w:rsidRPr="00720051">
        <w:rPr>
          <w:sz w:val="24"/>
          <w:szCs w:val="24"/>
        </w:rPr>
        <w:t>per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capita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of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Bulgaria</w:t>
      </w:r>
      <w:proofErr w:type="spellEnd"/>
      <w:r w:rsidRPr="00720051">
        <w:rPr>
          <w:sz w:val="24"/>
          <w:szCs w:val="24"/>
        </w:rPr>
        <w:t xml:space="preserve">. </w:t>
      </w:r>
      <w:proofErr w:type="spellStart"/>
      <w:r w:rsidRPr="00720051">
        <w:rPr>
          <w:sz w:val="24"/>
          <w:szCs w:val="24"/>
        </w:rPr>
        <w:t>The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intestinal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gel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Levodopa</w:t>
      </w:r>
      <w:proofErr w:type="spellEnd"/>
      <w:r w:rsidRPr="00720051">
        <w:rPr>
          <w:sz w:val="24"/>
          <w:szCs w:val="24"/>
        </w:rPr>
        <w:t xml:space="preserve"> + </w:t>
      </w:r>
      <w:proofErr w:type="spellStart"/>
      <w:r w:rsidRPr="00720051">
        <w:rPr>
          <w:sz w:val="24"/>
          <w:szCs w:val="24"/>
        </w:rPr>
        <w:t>Carbidopa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cost-effective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for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patients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who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are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indicated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for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this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therapy</w:t>
      </w:r>
      <w:proofErr w:type="spellEnd"/>
      <w:r w:rsidRPr="00720051">
        <w:rPr>
          <w:sz w:val="24"/>
          <w:szCs w:val="24"/>
        </w:rPr>
        <w:t>.</w:t>
      </w:r>
    </w:p>
    <w:p w14:paraId="47EC254E" w14:textId="77777777" w:rsidR="00720051" w:rsidRPr="00402413" w:rsidRDefault="00720051" w:rsidP="00720051">
      <w:pPr>
        <w:rPr>
          <w:sz w:val="24"/>
          <w:szCs w:val="24"/>
        </w:rPr>
      </w:pPr>
    </w:p>
    <w:p w14:paraId="4B4B98FA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2. Николай Герасимов История на аптечното дело в гр. Добрич и региона, „Здравна икономика и мениджмънт „ Година XIII брой 4 (50) 2013 год. </w:t>
      </w:r>
    </w:p>
    <w:p w14:paraId="48AEDAC6" w14:textId="1C61ADBF" w:rsidR="00402413" w:rsidRPr="00720051" w:rsidRDefault="00720051" w:rsidP="00720051">
      <w:pPr>
        <w:ind w:left="1134"/>
        <w:jc w:val="both"/>
        <w:rPr>
          <w:sz w:val="24"/>
          <w:szCs w:val="24"/>
        </w:rPr>
      </w:pPr>
      <w:r w:rsidRPr="00720051">
        <w:rPr>
          <w:b/>
          <w:sz w:val="24"/>
          <w:szCs w:val="24"/>
        </w:rPr>
        <w:t>Резюме</w:t>
      </w:r>
      <w:r w:rsidRPr="00720051">
        <w:rPr>
          <w:sz w:val="24"/>
          <w:szCs w:val="24"/>
        </w:rPr>
        <w:t>: Разработката представя факти от развитието на аптечното дело в Добрич , законовата и административна регулация през различните исторически периоди – турско владичество, създаване и утвърждаване на младата Българска държава, румънска окупация и след 1944 год. до 1990 година.</w:t>
      </w:r>
      <w:r>
        <w:rPr>
          <w:sz w:val="24"/>
          <w:szCs w:val="24"/>
        </w:rPr>
        <w:t xml:space="preserve"> </w:t>
      </w:r>
      <w:r w:rsidRPr="00720051">
        <w:rPr>
          <w:b/>
          <w:sz w:val="24"/>
          <w:szCs w:val="24"/>
        </w:rPr>
        <w:t>Цел</w:t>
      </w:r>
      <w:r w:rsidRPr="00720051">
        <w:rPr>
          <w:sz w:val="24"/>
          <w:szCs w:val="24"/>
        </w:rPr>
        <w:t xml:space="preserve">: анализ на развитието на аптечното дело в </w:t>
      </w:r>
      <w:proofErr w:type="spellStart"/>
      <w:r w:rsidRPr="00720051">
        <w:rPr>
          <w:sz w:val="24"/>
          <w:szCs w:val="24"/>
        </w:rPr>
        <w:t>гр.Добрич</w:t>
      </w:r>
      <w:proofErr w:type="spellEnd"/>
      <w:r w:rsidRPr="00720051">
        <w:rPr>
          <w:sz w:val="24"/>
          <w:szCs w:val="24"/>
        </w:rPr>
        <w:t xml:space="preserve"> и връзката с етапите на социално , икономическо , административно и законодателно развитие на обществото ни , фармацевтичната наука и образование .</w:t>
      </w:r>
      <w:r>
        <w:rPr>
          <w:sz w:val="24"/>
          <w:szCs w:val="24"/>
        </w:rPr>
        <w:t xml:space="preserve"> </w:t>
      </w:r>
      <w:r w:rsidRPr="00720051">
        <w:rPr>
          <w:b/>
          <w:sz w:val="24"/>
          <w:szCs w:val="24"/>
        </w:rPr>
        <w:t>Методика</w:t>
      </w:r>
      <w:r w:rsidRPr="00720051">
        <w:rPr>
          <w:sz w:val="24"/>
          <w:szCs w:val="24"/>
        </w:rPr>
        <w:t xml:space="preserve"> : Приложен е метод на историческия обзор и анализ, както и интервю. Събрани са и са анализирани архивни документи предоставени от Държавен архив – </w:t>
      </w:r>
      <w:proofErr w:type="spellStart"/>
      <w:r w:rsidRPr="00720051">
        <w:rPr>
          <w:sz w:val="24"/>
          <w:szCs w:val="24"/>
        </w:rPr>
        <w:t>гр.Добрич</w:t>
      </w:r>
      <w:proofErr w:type="spellEnd"/>
      <w:r w:rsidRPr="00720051">
        <w:rPr>
          <w:sz w:val="24"/>
          <w:szCs w:val="24"/>
        </w:rPr>
        <w:t xml:space="preserve"> „Аптечно – Добрич „ООД , лични архиви и научни и други популярни статии. Проведено е интервю с възрастни  фармацевти и са записани техните спомени.</w:t>
      </w:r>
      <w:r>
        <w:rPr>
          <w:sz w:val="24"/>
          <w:szCs w:val="24"/>
        </w:rPr>
        <w:t xml:space="preserve"> </w:t>
      </w:r>
      <w:r w:rsidRPr="00720051">
        <w:rPr>
          <w:b/>
          <w:sz w:val="24"/>
          <w:szCs w:val="24"/>
        </w:rPr>
        <w:t>Изводи</w:t>
      </w:r>
      <w:r w:rsidRPr="00720051">
        <w:rPr>
          <w:sz w:val="24"/>
          <w:szCs w:val="24"/>
        </w:rPr>
        <w:t xml:space="preserve"> : Етично и </w:t>
      </w:r>
      <w:r w:rsidRPr="00720051">
        <w:rPr>
          <w:sz w:val="24"/>
          <w:szCs w:val="24"/>
        </w:rPr>
        <w:lastRenderedPageBreak/>
        <w:t xml:space="preserve">професионално задължение на фармацевта е, в терапевтично партньорство с другите медицински специалисти е да работи за здравето на Пациента и осигуряване достъпа му до лекарства. Също така да познава, пази и </w:t>
      </w:r>
      <w:proofErr w:type="spellStart"/>
      <w:r w:rsidRPr="00720051">
        <w:rPr>
          <w:sz w:val="24"/>
          <w:szCs w:val="24"/>
        </w:rPr>
        <w:t>популиризира</w:t>
      </w:r>
      <w:proofErr w:type="spellEnd"/>
      <w:r w:rsidRPr="00720051">
        <w:rPr>
          <w:sz w:val="24"/>
          <w:szCs w:val="24"/>
        </w:rPr>
        <w:t xml:space="preserve"> историята и традициите на аптекарската професия и Аптеката като здравна институция .</w:t>
      </w:r>
    </w:p>
    <w:p w14:paraId="018C490E" w14:textId="77777777" w:rsidR="00720051" w:rsidRPr="00402413" w:rsidRDefault="00720051" w:rsidP="00720051">
      <w:pPr>
        <w:rPr>
          <w:sz w:val="24"/>
          <w:szCs w:val="24"/>
        </w:rPr>
      </w:pPr>
    </w:p>
    <w:p w14:paraId="770BC627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3. Н. Герасимов, Ст. </w:t>
      </w:r>
      <w:proofErr w:type="spellStart"/>
      <w:r w:rsidRPr="00402413">
        <w:rPr>
          <w:sz w:val="24"/>
          <w:szCs w:val="24"/>
        </w:rPr>
        <w:t>Сопотенски</w:t>
      </w:r>
      <w:proofErr w:type="spellEnd"/>
      <w:r w:rsidRPr="00402413">
        <w:rPr>
          <w:sz w:val="24"/>
          <w:szCs w:val="24"/>
        </w:rPr>
        <w:t>, Г. Петрова. Развитие на европейското законодателство в областта на медицинските изделия – основа за безопасни, ефективни и иновативни медицински изделия в полза на пациентите и медицинските специалисти. Медицински мениджмънт и здравна политика. 2014; 45 (4): 28-41</w:t>
      </w:r>
    </w:p>
    <w:p w14:paraId="1E7EB2B6" w14:textId="3E24031C" w:rsidR="00402413" w:rsidRDefault="00402413" w:rsidP="004024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51C96EC0" wp14:editId="51EEEBC5">
            <wp:extent cx="4521200" cy="2895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74BF" w14:textId="77777777" w:rsidR="00402413" w:rsidRPr="00402413" w:rsidRDefault="00402413" w:rsidP="00402413">
      <w:pPr>
        <w:rPr>
          <w:sz w:val="24"/>
          <w:szCs w:val="24"/>
        </w:rPr>
      </w:pPr>
    </w:p>
    <w:p w14:paraId="7D9AA11E" w14:textId="2F547E59" w:rsidR="00402413" w:rsidRDefault="00402413" w:rsidP="0025517F">
      <w:pPr>
        <w:spacing w:after="0" w:line="240" w:lineRule="auto"/>
        <w:rPr>
          <w:sz w:val="24"/>
          <w:szCs w:val="24"/>
        </w:rPr>
      </w:pPr>
      <w:r w:rsidRPr="00402413">
        <w:rPr>
          <w:sz w:val="24"/>
          <w:szCs w:val="24"/>
        </w:rPr>
        <w:t xml:space="preserve">4.  Донева М,  Герасимов Н,  С. </w:t>
      </w:r>
      <w:proofErr w:type="spellStart"/>
      <w:r w:rsidRPr="00402413">
        <w:rPr>
          <w:sz w:val="24"/>
          <w:szCs w:val="24"/>
        </w:rPr>
        <w:t>Сопотенски</w:t>
      </w:r>
      <w:proofErr w:type="spellEnd"/>
      <w:r w:rsidRPr="00402413">
        <w:rPr>
          <w:sz w:val="24"/>
          <w:szCs w:val="24"/>
        </w:rPr>
        <w:t xml:space="preserve">, М. Димитрова, М. Манова, К. </w:t>
      </w:r>
      <w:proofErr w:type="spellStart"/>
      <w:r w:rsidRPr="00402413">
        <w:rPr>
          <w:sz w:val="24"/>
          <w:szCs w:val="24"/>
        </w:rPr>
        <w:t>Андреевска</w:t>
      </w:r>
      <w:proofErr w:type="spellEnd"/>
      <w:r w:rsidRPr="00402413">
        <w:rPr>
          <w:sz w:val="24"/>
          <w:szCs w:val="24"/>
        </w:rPr>
        <w:t xml:space="preserve">, В. Маджаров, Д. Грекова, Г. Петрова. Проучване на рисковете при имплантиране на </w:t>
      </w:r>
      <w:proofErr w:type="spellStart"/>
      <w:r w:rsidRPr="00402413">
        <w:rPr>
          <w:sz w:val="24"/>
          <w:szCs w:val="24"/>
        </w:rPr>
        <w:t>херниални</w:t>
      </w:r>
      <w:proofErr w:type="spellEnd"/>
      <w:r w:rsidRPr="00402413">
        <w:rPr>
          <w:sz w:val="24"/>
          <w:szCs w:val="24"/>
        </w:rPr>
        <w:t xml:space="preserve"> платна, XIV Конгрес по хирургия, София 23-26.10 2014, Доклади на XIV Конгрес по хирургия, под ред. на Д. Дамянов, изд. ДЛ-М ООД , 2014, т.2,  стр.654-659</w:t>
      </w:r>
    </w:p>
    <w:p w14:paraId="577FF9C4" w14:textId="77777777" w:rsidR="0025517F" w:rsidRPr="00402413" w:rsidRDefault="0025517F" w:rsidP="0025517F">
      <w:pPr>
        <w:spacing w:after="0" w:line="240" w:lineRule="auto"/>
        <w:rPr>
          <w:sz w:val="24"/>
          <w:szCs w:val="24"/>
        </w:rPr>
      </w:pPr>
    </w:p>
    <w:p w14:paraId="7B253564" w14:textId="4CD7F898" w:rsidR="0025517F" w:rsidRPr="0025517F" w:rsidRDefault="0025517F" w:rsidP="0025517F">
      <w:pPr>
        <w:spacing w:after="0" w:line="240" w:lineRule="auto"/>
        <w:ind w:left="1134"/>
        <w:jc w:val="both"/>
        <w:rPr>
          <w:sz w:val="24"/>
          <w:szCs w:val="24"/>
        </w:rPr>
      </w:pPr>
      <w:r w:rsidRPr="0025517F">
        <w:rPr>
          <w:sz w:val="24"/>
          <w:szCs w:val="24"/>
        </w:rPr>
        <w:t xml:space="preserve">Хернията е често срещано заболяване със значителни икономически </w:t>
      </w:r>
      <w:r>
        <w:rPr>
          <w:sz w:val="24"/>
          <w:szCs w:val="24"/>
        </w:rPr>
        <w:t>р</w:t>
      </w:r>
      <w:r w:rsidRPr="0025517F">
        <w:rPr>
          <w:sz w:val="24"/>
          <w:szCs w:val="24"/>
        </w:rPr>
        <w:t xml:space="preserve">азходи което засяга 2.2 % от трудоспособното население у нас. Лечението е оперативно, като след 2000 г. предимно  се имплантират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платна. Те се </w:t>
      </w:r>
      <w:proofErr w:type="spellStart"/>
      <w:r w:rsidRPr="0025517F">
        <w:rPr>
          <w:sz w:val="24"/>
          <w:szCs w:val="24"/>
        </w:rPr>
        <w:t>използуват</w:t>
      </w:r>
      <w:proofErr w:type="spellEnd"/>
      <w:r w:rsidRPr="0025517F">
        <w:rPr>
          <w:sz w:val="24"/>
          <w:szCs w:val="24"/>
        </w:rPr>
        <w:t xml:space="preserve"> при всички видове  хернии, загуба на коремна стена поради травма или инфекция, възстановяване на коремна стена след </w:t>
      </w:r>
      <w:proofErr w:type="spellStart"/>
      <w:r w:rsidRPr="0025517F">
        <w:rPr>
          <w:sz w:val="24"/>
          <w:szCs w:val="24"/>
        </w:rPr>
        <w:t>резекция</w:t>
      </w:r>
      <w:proofErr w:type="spellEnd"/>
      <w:r w:rsidRPr="0025517F">
        <w:rPr>
          <w:sz w:val="24"/>
          <w:szCs w:val="24"/>
        </w:rPr>
        <w:t xml:space="preserve"> на тумор, вродени дефекти на коремната стена, </w:t>
      </w:r>
      <w:proofErr w:type="spellStart"/>
      <w:r w:rsidRPr="0025517F">
        <w:rPr>
          <w:sz w:val="24"/>
          <w:szCs w:val="24"/>
        </w:rPr>
        <w:t>ректален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пролапс</w:t>
      </w:r>
      <w:proofErr w:type="spellEnd"/>
      <w:r w:rsidRPr="0025517F">
        <w:rPr>
          <w:sz w:val="24"/>
          <w:szCs w:val="24"/>
        </w:rPr>
        <w:t>,  пластика на стомаха,  разкъсвания на коремната стена, генитално-урологично смъкване на органи.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Предлаганите на пазара </w:t>
      </w:r>
      <w:proofErr w:type="spellStart"/>
      <w:r w:rsidRPr="0025517F">
        <w:rPr>
          <w:sz w:val="24"/>
          <w:szCs w:val="24"/>
        </w:rPr>
        <w:t>херниалните</w:t>
      </w:r>
      <w:proofErr w:type="spellEnd"/>
      <w:r w:rsidRPr="0025517F">
        <w:rPr>
          <w:sz w:val="24"/>
          <w:szCs w:val="24"/>
        </w:rPr>
        <w:t xml:space="preserve"> платна се различават според използвания материал (синтетични, биологични и синтетични с биологично покритие), по начина на  производство (</w:t>
      </w:r>
      <w:proofErr w:type="spellStart"/>
      <w:r w:rsidRPr="0025517F">
        <w:rPr>
          <w:sz w:val="24"/>
          <w:szCs w:val="24"/>
        </w:rPr>
        <w:t>плетени,тъкани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екструдирани</w:t>
      </w:r>
      <w:proofErr w:type="spellEnd"/>
      <w:r w:rsidRPr="0025517F">
        <w:rPr>
          <w:sz w:val="24"/>
          <w:szCs w:val="24"/>
        </w:rPr>
        <w:t xml:space="preserve">), според физическите им характеристики (дебелина на </w:t>
      </w:r>
      <w:proofErr w:type="spellStart"/>
      <w:r w:rsidRPr="0025517F">
        <w:rPr>
          <w:sz w:val="24"/>
          <w:szCs w:val="24"/>
        </w:rPr>
        <w:t>херниалното</w:t>
      </w:r>
      <w:proofErr w:type="spellEnd"/>
      <w:r w:rsidRPr="0025517F">
        <w:rPr>
          <w:sz w:val="24"/>
          <w:szCs w:val="24"/>
        </w:rPr>
        <w:t xml:space="preserve"> платно, диаметър на нишките, брой на нишките, порьозност, размер на порите на </w:t>
      </w:r>
      <w:r w:rsidRPr="0025517F">
        <w:rPr>
          <w:sz w:val="24"/>
          <w:szCs w:val="24"/>
        </w:rPr>
        <w:lastRenderedPageBreak/>
        <w:t xml:space="preserve">материала) и според механичните им характеристики (якост на опън, коравина, еластичност, свиваемост, </w:t>
      </w:r>
      <w:proofErr w:type="spellStart"/>
      <w:r w:rsidRPr="0025517F">
        <w:rPr>
          <w:sz w:val="24"/>
          <w:szCs w:val="24"/>
        </w:rPr>
        <w:t>деформируемост</w:t>
      </w:r>
      <w:proofErr w:type="spellEnd"/>
      <w:r w:rsidRPr="0025517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На пазара на медицински изделия в света се предлагат  различни марки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платна, около 166, но не съществува регистър на техните технически характеристики и препоръки за използването им. Поради бързото навлизане на все по-нови ХП и поради факта, че все още не е открито универсалното </w:t>
      </w:r>
      <w:proofErr w:type="spellStart"/>
      <w:r w:rsidRPr="0025517F">
        <w:rPr>
          <w:sz w:val="24"/>
          <w:szCs w:val="24"/>
        </w:rPr>
        <w:t>херниално</w:t>
      </w:r>
      <w:proofErr w:type="spellEnd"/>
      <w:r w:rsidRPr="0025517F">
        <w:rPr>
          <w:sz w:val="24"/>
          <w:szCs w:val="24"/>
        </w:rPr>
        <w:t xml:space="preserve"> платно, класифицирането им по различни критерии ще спомогне за оптимален избор и за намаляване на усложненията при </w:t>
      </w:r>
      <w:proofErr w:type="spellStart"/>
      <w:r w:rsidRPr="0025517F">
        <w:rPr>
          <w:sz w:val="24"/>
          <w:szCs w:val="24"/>
        </w:rPr>
        <w:t>херниопластика</w:t>
      </w:r>
      <w:proofErr w:type="spellEnd"/>
      <w:r w:rsidRPr="0025517F">
        <w:rPr>
          <w:sz w:val="24"/>
          <w:szCs w:val="24"/>
        </w:rPr>
        <w:t>. Това ще улесни избора на специалистите при техния подбор за конкретен пациент.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Съществуват  класификации на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 според материала, който ги изгражда (синтетични и  биологични); според големината на порите (с големи пори  (над 1mm ), с малки пори (под  1mm) и без пори).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Друга  класификация на платната е според теглото им. Основно се разделят на  леки и тежки платна. Леките платна (LW) са с тегло 16-35 g/m2, а тежките с тегло  80-130 g/m2 (HW).</w:t>
      </w:r>
      <w:proofErr w:type="spellStart"/>
      <w:r w:rsidRPr="0025517F">
        <w:rPr>
          <w:sz w:val="24"/>
          <w:szCs w:val="24"/>
        </w:rPr>
        <w:t>Coda</w:t>
      </w:r>
      <w:proofErr w:type="spellEnd"/>
      <w:r w:rsidRPr="0025517F">
        <w:rPr>
          <w:sz w:val="24"/>
          <w:szCs w:val="24"/>
        </w:rPr>
        <w:t xml:space="preserve"> предлага следното разделяне на платната според теглото им:</w:t>
      </w:r>
    </w:p>
    <w:p w14:paraId="5D7E2ED8" w14:textId="77777777" w:rsidR="0025517F" w:rsidRPr="0025517F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•</w:t>
      </w:r>
      <w:r w:rsidRPr="0025517F">
        <w:rPr>
          <w:sz w:val="24"/>
          <w:szCs w:val="24"/>
        </w:rPr>
        <w:tab/>
        <w:t xml:space="preserve">I    </w:t>
      </w:r>
      <w:proofErr w:type="spellStart"/>
      <w:r w:rsidRPr="0025517F">
        <w:rPr>
          <w:sz w:val="24"/>
          <w:szCs w:val="24"/>
        </w:rPr>
        <w:t>ултралеки</w:t>
      </w:r>
      <w:proofErr w:type="spellEnd"/>
      <w:r w:rsidRPr="0025517F">
        <w:rPr>
          <w:sz w:val="24"/>
          <w:szCs w:val="24"/>
        </w:rPr>
        <w:t xml:space="preserve">  под 35 g/m2 - </w:t>
      </w:r>
      <w:proofErr w:type="spellStart"/>
      <w:r w:rsidRPr="0025517F">
        <w:rPr>
          <w:sz w:val="24"/>
          <w:szCs w:val="24"/>
        </w:rPr>
        <w:t>Ultrapro</w:t>
      </w:r>
      <w:proofErr w:type="spellEnd"/>
      <w:r w:rsidRPr="0025517F">
        <w:rPr>
          <w:sz w:val="24"/>
          <w:szCs w:val="24"/>
        </w:rPr>
        <w:t xml:space="preserve"> (28 g/m2), </w:t>
      </w:r>
    </w:p>
    <w:p w14:paraId="4CD7F580" w14:textId="77777777" w:rsidR="0025517F" w:rsidRPr="0025517F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•</w:t>
      </w:r>
      <w:r w:rsidRPr="0025517F">
        <w:rPr>
          <w:sz w:val="24"/>
          <w:szCs w:val="24"/>
        </w:rPr>
        <w:tab/>
        <w:t xml:space="preserve">II  леки 35-70 g/m2 - </w:t>
      </w:r>
      <w:proofErr w:type="spellStart"/>
      <w:r w:rsidRPr="0025517F">
        <w:rPr>
          <w:sz w:val="24"/>
          <w:szCs w:val="24"/>
        </w:rPr>
        <w:t>Timesh</w:t>
      </w:r>
      <w:proofErr w:type="spellEnd"/>
      <w:r w:rsidRPr="0025517F">
        <w:rPr>
          <w:sz w:val="24"/>
          <w:szCs w:val="24"/>
        </w:rPr>
        <w:t xml:space="preserve">(35 g/m2), </w:t>
      </w:r>
      <w:proofErr w:type="spellStart"/>
      <w:r w:rsidRPr="0025517F">
        <w:rPr>
          <w:sz w:val="24"/>
          <w:szCs w:val="24"/>
        </w:rPr>
        <w:t>Mersilene</w:t>
      </w:r>
      <w:proofErr w:type="spellEnd"/>
      <w:r w:rsidRPr="0025517F">
        <w:rPr>
          <w:sz w:val="24"/>
          <w:szCs w:val="24"/>
        </w:rPr>
        <w:t xml:space="preserve">(40 g/m2),    </w:t>
      </w:r>
      <w:proofErr w:type="spellStart"/>
      <w:r w:rsidRPr="0025517F">
        <w:rPr>
          <w:sz w:val="24"/>
          <w:szCs w:val="24"/>
        </w:rPr>
        <w:t>Vypro</w:t>
      </w:r>
      <w:proofErr w:type="spellEnd"/>
      <w:r w:rsidRPr="0025517F">
        <w:rPr>
          <w:sz w:val="24"/>
          <w:szCs w:val="24"/>
        </w:rPr>
        <w:t>(38 g/m2),</w:t>
      </w:r>
    </w:p>
    <w:p w14:paraId="13F211F5" w14:textId="77777777" w:rsidR="0025517F" w:rsidRPr="0025517F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•</w:t>
      </w:r>
      <w:r w:rsidRPr="0025517F">
        <w:rPr>
          <w:sz w:val="24"/>
          <w:szCs w:val="24"/>
        </w:rPr>
        <w:tab/>
        <w:t xml:space="preserve">III стандартни 70-140g/m2- </w:t>
      </w:r>
      <w:proofErr w:type="spellStart"/>
      <w:r w:rsidRPr="0025517F">
        <w:rPr>
          <w:sz w:val="24"/>
          <w:szCs w:val="24"/>
        </w:rPr>
        <w:t>Surgipro</w:t>
      </w:r>
      <w:proofErr w:type="spellEnd"/>
      <w:r w:rsidRPr="0025517F">
        <w:rPr>
          <w:sz w:val="24"/>
          <w:szCs w:val="24"/>
        </w:rPr>
        <w:t>(87 g/m2),</w:t>
      </w:r>
      <w:proofErr w:type="spellStart"/>
      <w:r w:rsidRPr="0025517F">
        <w:rPr>
          <w:sz w:val="24"/>
          <w:szCs w:val="24"/>
        </w:rPr>
        <w:t>Marlex</w:t>
      </w:r>
      <w:proofErr w:type="spellEnd"/>
      <w:r w:rsidRPr="0025517F">
        <w:rPr>
          <w:sz w:val="24"/>
          <w:szCs w:val="24"/>
        </w:rPr>
        <w:t xml:space="preserve">(95 g/m2), </w:t>
      </w:r>
      <w:proofErr w:type="spellStart"/>
      <w:r w:rsidRPr="0025517F">
        <w:rPr>
          <w:sz w:val="24"/>
          <w:szCs w:val="24"/>
        </w:rPr>
        <w:t>Atrium</w:t>
      </w:r>
      <w:proofErr w:type="spellEnd"/>
      <w:r w:rsidRPr="0025517F">
        <w:rPr>
          <w:sz w:val="24"/>
          <w:szCs w:val="24"/>
        </w:rPr>
        <w:t xml:space="preserve">(90 g/m2),  </w:t>
      </w:r>
      <w:proofErr w:type="spellStart"/>
      <w:r w:rsidRPr="0025517F">
        <w:rPr>
          <w:sz w:val="24"/>
          <w:szCs w:val="24"/>
        </w:rPr>
        <w:t>Prolene</w:t>
      </w:r>
      <w:proofErr w:type="spellEnd"/>
      <w:r w:rsidRPr="0025517F">
        <w:rPr>
          <w:sz w:val="24"/>
          <w:szCs w:val="24"/>
        </w:rPr>
        <w:t>(109 g/m2),</w:t>
      </w:r>
    </w:p>
    <w:p w14:paraId="48A7B168" w14:textId="77777777" w:rsidR="0025517F" w:rsidRPr="0025517F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•</w:t>
      </w:r>
      <w:r w:rsidRPr="0025517F">
        <w:rPr>
          <w:sz w:val="24"/>
          <w:szCs w:val="24"/>
        </w:rPr>
        <w:tab/>
        <w:t>IV тежки - над 140 g/m2 –PTFE (400 g/m2).</w:t>
      </w:r>
    </w:p>
    <w:p w14:paraId="644DAE9B" w14:textId="1468AA99" w:rsidR="0025517F" w:rsidRPr="0025517F" w:rsidRDefault="0025517F" w:rsidP="0025517F">
      <w:pPr>
        <w:spacing w:after="0" w:line="240" w:lineRule="auto"/>
        <w:ind w:left="1134"/>
        <w:jc w:val="both"/>
        <w:rPr>
          <w:sz w:val="24"/>
          <w:szCs w:val="24"/>
        </w:rPr>
      </w:pPr>
      <w:r w:rsidRPr="0025517F">
        <w:rPr>
          <w:sz w:val="24"/>
          <w:szCs w:val="24"/>
        </w:rPr>
        <w:t xml:space="preserve">В момента, най-често </w:t>
      </w:r>
      <w:proofErr w:type="spellStart"/>
      <w:r w:rsidRPr="0025517F">
        <w:rPr>
          <w:sz w:val="24"/>
          <w:szCs w:val="24"/>
        </w:rPr>
        <w:t>херниалните</w:t>
      </w:r>
      <w:proofErr w:type="spellEnd"/>
      <w:r w:rsidRPr="0025517F">
        <w:rPr>
          <w:sz w:val="24"/>
          <w:szCs w:val="24"/>
        </w:rPr>
        <w:t xml:space="preserve"> платна се класифицират според размер на порите на материала и теглото им. В употреба са тежки платна с малки пори  като  </w:t>
      </w:r>
      <w:proofErr w:type="spellStart"/>
      <w:r w:rsidRPr="0025517F">
        <w:rPr>
          <w:sz w:val="24"/>
          <w:szCs w:val="24"/>
        </w:rPr>
        <w:t>Marlex</w:t>
      </w:r>
      <w:proofErr w:type="spellEnd"/>
      <w:r w:rsidRPr="0025517F">
        <w:rPr>
          <w:sz w:val="24"/>
          <w:szCs w:val="24"/>
        </w:rPr>
        <w:t xml:space="preserve"> (</w:t>
      </w:r>
      <w:proofErr w:type="spellStart"/>
      <w:r w:rsidRPr="0025517F">
        <w:rPr>
          <w:sz w:val="24"/>
          <w:szCs w:val="24"/>
        </w:rPr>
        <w:t>Bard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Inc.USA</w:t>
      </w:r>
      <w:proofErr w:type="spellEnd"/>
      <w:r w:rsidRPr="0025517F">
        <w:rPr>
          <w:sz w:val="24"/>
          <w:szCs w:val="24"/>
        </w:rPr>
        <w:t xml:space="preserve">), </w:t>
      </w:r>
      <w:proofErr w:type="spellStart"/>
      <w:r w:rsidRPr="0025517F">
        <w:rPr>
          <w:sz w:val="24"/>
          <w:szCs w:val="24"/>
        </w:rPr>
        <w:t>Prolene</w:t>
      </w:r>
      <w:proofErr w:type="spellEnd"/>
      <w:r w:rsidRPr="0025517F">
        <w:rPr>
          <w:sz w:val="24"/>
          <w:szCs w:val="24"/>
        </w:rPr>
        <w:t xml:space="preserve"> (</w:t>
      </w:r>
      <w:proofErr w:type="spellStart"/>
      <w:r w:rsidRPr="0025517F">
        <w:rPr>
          <w:sz w:val="24"/>
          <w:szCs w:val="24"/>
        </w:rPr>
        <w:t>Ethicon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Inc</w:t>
      </w:r>
      <w:proofErr w:type="spellEnd"/>
      <w:r w:rsidRPr="0025517F">
        <w:rPr>
          <w:sz w:val="24"/>
          <w:szCs w:val="24"/>
        </w:rPr>
        <w:t xml:space="preserve">. USA), </w:t>
      </w:r>
      <w:proofErr w:type="spellStart"/>
      <w:r w:rsidRPr="0025517F">
        <w:rPr>
          <w:sz w:val="24"/>
          <w:szCs w:val="24"/>
        </w:rPr>
        <w:t>Atrium</w:t>
      </w:r>
      <w:proofErr w:type="spellEnd"/>
      <w:r w:rsidRPr="0025517F">
        <w:rPr>
          <w:sz w:val="24"/>
          <w:szCs w:val="24"/>
        </w:rPr>
        <w:t xml:space="preserve"> (</w:t>
      </w:r>
      <w:proofErr w:type="spellStart"/>
      <w:r w:rsidRPr="0025517F">
        <w:rPr>
          <w:sz w:val="24"/>
          <w:szCs w:val="24"/>
        </w:rPr>
        <w:t>Atrium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Med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Corp</w:t>
      </w:r>
      <w:proofErr w:type="spellEnd"/>
      <w:r w:rsidRPr="0025517F">
        <w:rPr>
          <w:sz w:val="24"/>
          <w:szCs w:val="24"/>
        </w:rPr>
        <w:t xml:space="preserve">.,USA); леки платна с големи пори </w:t>
      </w:r>
      <w:proofErr w:type="spellStart"/>
      <w:r w:rsidRPr="0025517F">
        <w:rPr>
          <w:sz w:val="24"/>
          <w:szCs w:val="24"/>
        </w:rPr>
        <w:t>Vypro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UltraPro</w:t>
      </w:r>
      <w:proofErr w:type="spellEnd"/>
      <w:r w:rsidRPr="0025517F">
        <w:rPr>
          <w:sz w:val="24"/>
          <w:szCs w:val="24"/>
        </w:rPr>
        <w:t>, (</w:t>
      </w:r>
      <w:proofErr w:type="spellStart"/>
      <w:r w:rsidRPr="0025517F">
        <w:rPr>
          <w:sz w:val="24"/>
          <w:szCs w:val="24"/>
        </w:rPr>
        <w:t>Ethicon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GmbH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Germany</w:t>
      </w:r>
      <w:proofErr w:type="spellEnd"/>
      <w:r w:rsidRPr="0025517F">
        <w:rPr>
          <w:sz w:val="24"/>
          <w:szCs w:val="24"/>
        </w:rPr>
        <w:t xml:space="preserve">), </w:t>
      </w:r>
      <w:proofErr w:type="spellStart"/>
      <w:r w:rsidRPr="0025517F">
        <w:rPr>
          <w:sz w:val="24"/>
          <w:szCs w:val="24"/>
        </w:rPr>
        <w:t>TiMesh</w:t>
      </w:r>
      <w:proofErr w:type="spellEnd"/>
      <w:r w:rsidRPr="0025517F">
        <w:rPr>
          <w:sz w:val="24"/>
          <w:szCs w:val="24"/>
        </w:rPr>
        <w:t xml:space="preserve"> (GFE, </w:t>
      </w:r>
      <w:proofErr w:type="spellStart"/>
      <w:r w:rsidRPr="0025517F">
        <w:rPr>
          <w:sz w:val="24"/>
          <w:szCs w:val="24"/>
        </w:rPr>
        <w:t>Germany</w:t>
      </w:r>
      <w:proofErr w:type="spellEnd"/>
      <w:r w:rsidRPr="0025517F">
        <w:rPr>
          <w:sz w:val="24"/>
          <w:szCs w:val="24"/>
        </w:rPr>
        <w:t xml:space="preserve">)  и комбинации от тежки платна с големи пори и леки платна с малки пори - </w:t>
      </w:r>
      <w:proofErr w:type="spellStart"/>
      <w:r w:rsidRPr="0025517F">
        <w:rPr>
          <w:sz w:val="24"/>
          <w:szCs w:val="24"/>
        </w:rPr>
        <w:t>Surgimesh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Technomesh</w:t>
      </w:r>
      <w:proofErr w:type="spellEnd"/>
      <w:r w:rsidRPr="0025517F">
        <w:rPr>
          <w:sz w:val="24"/>
          <w:szCs w:val="24"/>
        </w:rPr>
        <w:t>.</w:t>
      </w:r>
    </w:p>
    <w:p w14:paraId="1330699F" w14:textId="66C917C0" w:rsidR="0025517F" w:rsidRPr="0025517F" w:rsidRDefault="0025517F" w:rsidP="0025517F">
      <w:pPr>
        <w:spacing w:after="0" w:line="240" w:lineRule="auto"/>
        <w:ind w:left="1134"/>
        <w:jc w:val="both"/>
        <w:rPr>
          <w:sz w:val="24"/>
          <w:szCs w:val="24"/>
        </w:rPr>
      </w:pPr>
      <w:r w:rsidRPr="0025517F">
        <w:rPr>
          <w:sz w:val="24"/>
          <w:szCs w:val="24"/>
        </w:rPr>
        <w:t xml:space="preserve">Проблемите, свързани с операциите от херния са основно </w:t>
      </w:r>
      <w:proofErr w:type="spellStart"/>
      <w:r w:rsidRPr="0025517F">
        <w:rPr>
          <w:sz w:val="24"/>
          <w:szCs w:val="24"/>
        </w:rPr>
        <w:t>интраоперативни</w:t>
      </w:r>
      <w:proofErr w:type="spellEnd"/>
      <w:r w:rsidRPr="0025517F">
        <w:rPr>
          <w:sz w:val="24"/>
          <w:szCs w:val="24"/>
        </w:rPr>
        <w:t xml:space="preserve"> и следоперативни, като следоперативните усложнения биват ранни и късни според времето на проявяване и тежки и леки според степента на усложнение. Като резултат от механичното несъответствие между механичните свойства на тъканите и </w:t>
      </w:r>
      <w:proofErr w:type="spellStart"/>
      <w:r w:rsidRPr="0025517F">
        <w:rPr>
          <w:sz w:val="24"/>
          <w:szCs w:val="24"/>
        </w:rPr>
        <w:t>имплантантите</w:t>
      </w:r>
      <w:proofErr w:type="spellEnd"/>
      <w:r w:rsidRPr="0025517F">
        <w:rPr>
          <w:sz w:val="24"/>
          <w:szCs w:val="24"/>
        </w:rPr>
        <w:t xml:space="preserve"> се </w:t>
      </w:r>
      <w:proofErr w:type="spellStart"/>
      <w:r w:rsidRPr="0025517F">
        <w:rPr>
          <w:sz w:val="24"/>
          <w:szCs w:val="24"/>
        </w:rPr>
        <w:t>налюдават</w:t>
      </w:r>
      <w:proofErr w:type="spellEnd"/>
      <w:r w:rsidRPr="0025517F">
        <w:rPr>
          <w:sz w:val="24"/>
          <w:szCs w:val="24"/>
        </w:rPr>
        <w:t xml:space="preserve"> намаляване на подвижността и </w:t>
      </w:r>
      <w:proofErr w:type="spellStart"/>
      <w:r w:rsidRPr="0025517F">
        <w:rPr>
          <w:sz w:val="24"/>
          <w:szCs w:val="24"/>
        </w:rPr>
        <w:t>деформируемостта</w:t>
      </w:r>
      <w:proofErr w:type="spellEnd"/>
      <w:r w:rsidRPr="0025517F">
        <w:rPr>
          <w:sz w:val="24"/>
          <w:szCs w:val="24"/>
        </w:rPr>
        <w:t xml:space="preserve"> на коремната стена, разкъсванията по шевовете на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 и хронична болка. </w:t>
      </w:r>
    </w:p>
    <w:p w14:paraId="4350AF29" w14:textId="77777777" w:rsidR="0025517F" w:rsidRPr="0025517F" w:rsidRDefault="0025517F" w:rsidP="0025517F">
      <w:pPr>
        <w:spacing w:after="0" w:line="240" w:lineRule="auto"/>
        <w:ind w:left="1134"/>
        <w:jc w:val="both"/>
        <w:rPr>
          <w:sz w:val="24"/>
          <w:szCs w:val="24"/>
        </w:rPr>
      </w:pPr>
      <w:r w:rsidRPr="0025517F">
        <w:rPr>
          <w:sz w:val="24"/>
          <w:szCs w:val="24"/>
        </w:rPr>
        <w:t xml:space="preserve">Подобряване на следоперативния комфорт на пациентите и </w:t>
      </w:r>
      <w:proofErr w:type="spellStart"/>
      <w:r w:rsidRPr="0025517F">
        <w:rPr>
          <w:sz w:val="24"/>
          <w:szCs w:val="24"/>
        </w:rPr>
        <w:t>намалявяне</w:t>
      </w:r>
      <w:proofErr w:type="spellEnd"/>
      <w:r w:rsidRPr="0025517F">
        <w:rPr>
          <w:sz w:val="24"/>
          <w:szCs w:val="24"/>
        </w:rPr>
        <w:t xml:space="preserve">  на  оплакванията им може да се осъществи при подходящ подбор на </w:t>
      </w:r>
      <w:proofErr w:type="spellStart"/>
      <w:r w:rsidRPr="0025517F">
        <w:rPr>
          <w:sz w:val="24"/>
          <w:szCs w:val="24"/>
        </w:rPr>
        <w:t>херниалните</w:t>
      </w:r>
      <w:proofErr w:type="spellEnd"/>
      <w:r w:rsidRPr="0025517F">
        <w:rPr>
          <w:sz w:val="24"/>
          <w:szCs w:val="24"/>
        </w:rPr>
        <w:t xml:space="preserve"> платна (ХП). </w:t>
      </w:r>
    </w:p>
    <w:p w14:paraId="095C8CCB" w14:textId="77777777" w:rsidR="0025517F" w:rsidRPr="0025517F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Целта на настоящото изследване е:</w:t>
      </w:r>
    </w:p>
    <w:p w14:paraId="3E91F381" w14:textId="77777777" w:rsidR="0025517F" w:rsidRPr="0025517F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-</w:t>
      </w:r>
      <w:r w:rsidRPr="0025517F">
        <w:rPr>
          <w:sz w:val="24"/>
          <w:szCs w:val="24"/>
        </w:rPr>
        <w:tab/>
        <w:t xml:space="preserve">да се проучи  какви ХП се използват у нас при лечение на херния и да се направи оценка на факторите, които влияят при избора на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платна;</w:t>
      </w:r>
    </w:p>
    <w:p w14:paraId="6E5A90E6" w14:textId="6B1E46E3" w:rsidR="00402413" w:rsidRDefault="0025517F" w:rsidP="0025517F">
      <w:pPr>
        <w:spacing w:after="0" w:line="240" w:lineRule="auto"/>
        <w:ind w:left="1134"/>
        <w:rPr>
          <w:sz w:val="24"/>
          <w:szCs w:val="24"/>
        </w:rPr>
      </w:pPr>
      <w:r w:rsidRPr="0025517F">
        <w:rPr>
          <w:sz w:val="24"/>
          <w:szCs w:val="24"/>
        </w:rPr>
        <w:t>-</w:t>
      </w:r>
      <w:r w:rsidRPr="0025517F">
        <w:rPr>
          <w:sz w:val="24"/>
          <w:szCs w:val="24"/>
        </w:rPr>
        <w:tab/>
        <w:t xml:space="preserve">да се изследва кои са най-честите причини за </w:t>
      </w:r>
      <w:proofErr w:type="spellStart"/>
      <w:r w:rsidRPr="0025517F">
        <w:rPr>
          <w:sz w:val="24"/>
          <w:szCs w:val="24"/>
        </w:rPr>
        <w:t>реоперция</w:t>
      </w:r>
      <w:proofErr w:type="spellEnd"/>
      <w:r w:rsidRPr="0025517F">
        <w:rPr>
          <w:sz w:val="24"/>
          <w:szCs w:val="24"/>
        </w:rPr>
        <w:t xml:space="preserve"> и как те са свързани с техническите характеристики на избраното платно.</w:t>
      </w:r>
    </w:p>
    <w:p w14:paraId="039266D5" w14:textId="77777777" w:rsidR="0025517F" w:rsidRPr="00402413" w:rsidRDefault="0025517F" w:rsidP="0025517F">
      <w:pPr>
        <w:rPr>
          <w:sz w:val="24"/>
          <w:szCs w:val="24"/>
        </w:rPr>
      </w:pPr>
    </w:p>
    <w:p w14:paraId="07D9999A" w14:textId="77777777" w:rsidR="00003179" w:rsidRDefault="00003179" w:rsidP="00402413">
      <w:pPr>
        <w:rPr>
          <w:sz w:val="24"/>
          <w:szCs w:val="24"/>
        </w:rPr>
      </w:pPr>
    </w:p>
    <w:p w14:paraId="3B6384B4" w14:textId="77777777" w:rsidR="00003179" w:rsidRDefault="00003179" w:rsidP="00402413">
      <w:pPr>
        <w:rPr>
          <w:sz w:val="24"/>
          <w:szCs w:val="24"/>
        </w:rPr>
      </w:pPr>
    </w:p>
    <w:p w14:paraId="2375B6C0" w14:textId="41E64EA2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lastRenderedPageBreak/>
        <w:t xml:space="preserve">5. </w:t>
      </w:r>
      <w:proofErr w:type="spellStart"/>
      <w:r w:rsidRPr="00402413">
        <w:rPr>
          <w:sz w:val="24"/>
          <w:szCs w:val="24"/>
        </w:rPr>
        <w:t>Kirilova-Doneva</w:t>
      </w:r>
      <w:proofErr w:type="spellEnd"/>
      <w:r w:rsidRPr="00402413">
        <w:rPr>
          <w:sz w:val="24"/>
          <w:szCs w:val="24"/>
        </w:rPr>
        <w:t xml:space="preserve">, M. </w:t>
      </w:r>
      <w:proofErr w:type="spellStart"/>
      <w:r w:rsidRPr="00402413">
        <w:rPr>
          <w:sz w:val="24"/>
          <w:szCs w:val="24"/>
        </w:rPr>
        <w:t>Pashkouleva</w:t>
      </w:r>
      <w:proofErr w:type="spellEnd"/>
      <w:r w:rsidRPr="00402413">
        <w:rPr>
          <w:sz w:val="24"/>
          <w:szCs w:val="24"/>
        </w:rPr>
        <w:t xml:space="preserve">, D, </w:t>
      </w:r>
      <w:proofErr w:type="spellStart"/>
      <w:r w:rsidRPr="00402413">
        <w:rPr>
          <w:sz w:val="24"/>
          <w:szCs w:val="24"/>
        </w:rPr>
        <w:t>Sopotensky</w:t>
      </w:r>
      <w:proofErr w:type="spellEnd"/>
      <w:r w:rsidRPr="00402413">
        <w:rPr>
          <w:sz w:val="24"/>
          <w:szCs w:val="24"/>
        </w:rPr>
        <w:t xml:space="preserve">, S., Petrova, G., </w:t>
      </w:r>
      <w:proofErr w:type="spellStart"/>
      <w:r w:rsidRPr="00402413">
        <w:rPr>
          <w:sz w:val="24"/>
          <w:szCs w:val="24"/>
        </w:rPr>
        <w:t>Gerassimov</w:t>
      </w:r>
      <w:proofErr w:type="spellEnd"/>
      <w:r w:rsidRPr="00402413">
        <w:rPr>
          <w:sz w:val="24"/>
          <w:szCs w:val="24"/>
        </w:rPr>
        <w:t xml:space="preserve">, N., </w:t>
      </w:r>
      <w:proofErr w:type="spellStart"/>
      <w:r w:rsidRPr="00402413">
        <w:rPr>
          <w:sz w:val="24"/>
          <w:szCs w:val="24"/>
        </w:rPr>
        <w:t>Kamusheva</w:t>
      </w:r>
      <w:proofErr w:type="spellEnd"/>
      <w:r w:rsidRPr="00402413">
        <w:rPr>
          <w:sz w:val="24"/>
          <w:szCs w:val="24"/>
        </w:rPr>
        <w:t xml:space="preserve">, M. </w:t>
      </w:r>
      <w:proofErr w:type="spellStart"/>
      <w:r w:rsidRPr="00402413">
        <w:rPr>
          <w:sz w:val="24"/>
          <w:szCs w:val="24"/>
        </w:rPr>
        <w:t>Application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partially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resorbable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Bulgaria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Series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Biomechanics</w:t>
      </w:r>
      <w:proofErr w:type="spellEnd"/>
      <w:r w:rsidRPr="00402413">
        <w:rPr>
          <w:sz w:val="24"/>
          <w:szCs w:val="24"/>
        </w:rPr>
        <w:t xml:space="preserve"> 2015; 29 (4): 27-32</w:t>
      </w:r>
    </w:p>
    <w:p w14:paraId="2D16B904" w14:textId="11338F2F" w:rsidR="00402413" w:rsidRDefault="0025517F" w:rsidP="0025517F">
      <w:pPr>
        <w:ind w:left="1134"/>
        <w:rPr>
          <w:sz w:val="24"/>
          <w:szCs w:val="24"/>
        </w:rPr>
      </w:pP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is</w:t>
      </w:r>
      <w:proofErr w:type="spellEnd"/>
      <w:r w:rsidRPr="0025517F">
        <w:rPr>
          <w:sz w:val="24"/>
          <w:szCs w:val="24"/>
        </w:rPr>
        <w:t xml:space="preserve"> a </w:t>
      </w:r>
      <w:proofErr w:type="spellStart"/>
      <w:r w:rsidRPr="0025517F">
        <w:rPr>
          <w:sz w:val="24"/>
          <w:szCs w:val="24"/>
        </w:rPr>
        <w:t>common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disease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Bulgaria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Numerous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currently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being</w:t>
      </w:r>
      <w:proofErr w:type="spellEnd"/>
      <w:r w:rsidRPr="0025517F">
        <w:rPr>
          <w:sz w:val="24"/>
          <w:szCs w:val="24"/>
        </w:rPr>
        <w:t xml:space="preserve">  </w:t>
      </w:r>
      <w:proofErr w:type="spellStart"/>
      <w:r w:rsidRPr="0025517F">
        <w:rPr>
          <w:sz w:val="24"/>
          <w:szCs w:val="24"/>
        </w:rPr>
        <w:t>used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to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augment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abdominal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wall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Using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results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inquiry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among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surgeons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from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leading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clinical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centers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our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country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type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most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implantable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was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determined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We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investigated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mechanical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most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applicable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light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partially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resorbable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used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our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country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main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characteristics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one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ultra-light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</w:t>
      </w:r>
      <w:proofErr w:type="spellEnd"/>
      <w:r w:rsidRPr="0025517F">
        <w:rPr>
          <w:sz w:val="24"/>
          <w:szCs w:val="24"/>
        </w:rPr>
        <w:t xml:space="preserve"> - TiО2mesh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three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light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Parietex</w:t>
      </w:r>
      <w:proofErr w:type="spellEnd"/>
      <w:r w:rsidRPr="0025517F">
        <w:rPr>
          <w:sz w:val="24"/>
          <w:szCs w:val="24"/>
        </w:rPr>
        <w:t xml:space="preserve"> (PX), </w:t>
      </w:r>
      <w:proofErr w:type="spellStart"/>
      <w:r w:rsidRPr="0025517F">
        <w:rPr>
          <w:sz w:val="24"/>
          <w:szCs w:val="24"/>
        </w:rPr>
        <w:t>Optilene</w:t>
      </w:r>
      <w:proofErr w:type="spellEnd"/>
      <w:r w:rsidRPr="0025517F">
        <w:rPr>
          <w:sz w:val="24"/>
          <w:szCs w:val="24"/>
        </w:rPr>
        <w:t xml:space="preserve"> (OP), </w:t>
      </w:r>
      <w:proofErr w:type="spellStart"/>
      <w:r w:rsidRPr="0025517F">
        <w:rPr>
          <w:sz w:val="24"/>
          <w:szCs w:val="24"/>
        </w:rPr>
        <w:t>VyproII</w:t>
      </w:r>
      <w:proofErr w:type="spellEnd"/>
      <w:r w:rsidRPr="0025517F">
        <w:rPr>
          <w:sz w:val="24"/>
          <w:szCs w:val="24"/>
        </w:rPr>
        <w:t xml:space="preserve"> (VP) </w:t>
      </w:r>
      <w:proofErr w:type="spellStart"/>
      <w:r w:rsidRPr="0025517F">
        <w:rPr>
          <w:sz w:val="24"/>
          <w:szCs w:val="24"/>
        </w:rPr>
        <w:t>are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presented</w:t>
      </w:r>
      <w:proofErr w:type="spellEnd"/>
      <w:r w:rsidRPr="0025517F">
        <w:rPr>
          <w:sz w:val="24"/>
          <w:szCs w:val="24"/>
        </w:rPr>
        <w:t xml:space="preserve"> - </w:t>
      </w:r>
      <w:proofErr w:type="spellStart"/>
      <w:r w:rsidRPr="0025517F">
        <w:rPr>
          <w:sz w:val="24"/>
          <w:szCs w:val="24"/>
        </w:rPr>
        <w:t>their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modulus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elasticity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maximal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elongation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These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were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compared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with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mechanical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human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abdominal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fascia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with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mechanical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closest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to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fascia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were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determined</w:t>
      </w:r>
      <w:proofErr w:type="spellEnd"/>
      <w:r w:rsidRPr="0025517F">
        <w:rPr>
          <w:sz w:val="24"/>
          <w:szCs w:val="24"/>
        </w:rPr>
        <w:t>.</w:t>
      </w:r>
    </w:p>
    <w:p w14:paraId="0208BAFF" w14:textId="77777777" w:rsidR="0025517F" w:rsidRPr="00402413" w:rsidRDefault="0025517F" w:rsidP="0025517F">
      <w:pPr>
        <w:ind w:left="1134"/>
        <w:rPr>
          <w:sz w:val="24"/>
          <w:szCs w:val="24"/>
        </w:rPr>
      </w:pPr>
    </w:p>
    <w:p w14:paraId="5BC49482" w14:textId="77777777" w:rsidR="00402413" w:rsidRPr="00402413" w:rsidRDefault="00402413" w:rsidP="0025517F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6. </w:t>
      </w:r>
      <w:proofErr w:type="spellStart"/>
      <w:r w:rsidRPr="00402413">
        <w:rPr>
          <w:sz w:val="24"/>
          <w:szCs w:val="24"/>
        </w:rPr>
        <w:t>Kirilova-Doneva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Pashkouleva</w:t>
      </w:r>
      <w:proofErr w:type="spellEnd"/>
      <w:r w:rsidRPr="00402413">
        <w:rPr>
          <w:sz w:val="24"/>
          <w:szCs w:val="24"/>
        </w:rPr>
        <w:t xml:space="preserve">, D., </w:t>
      </w:r>
      <w:proofErr w:type="spellStart"/>
      <w:r w:rsidRPr="00402413">
        <w:rPr>
          <w:sz w:val="24"/>
          <w:szCs w:val="24"/>
        </w:rPr>
        <w:t>Kavardzhikov</w:t>
      </w:r>
      <w:proofErr w:type="spellEnd"/>
      <w:r w:rsidRPr="00402413">
        <w:rPr>
          <w:sz w:val="24"/>
          <w:szCs w:val="24"/>
        </w:rPr>
        <w:t xml:space="preserve">, V., </w:t>
      </w:r>
      <w:proofErr w:type="spellStart"/>
      <w:r w:rsidRPr="00402413">
        <w:rPr>
          <w:sz w:val="24"/>
          <w:szCs w:val="24"/>
        </w:rPr>
        <w:t>Sopotensky</w:t>
      </w:r>
      <w:proofErr w:type="spellEnd"/>
      <w:r w:rsidRPr="00402413">
        <w:rPr>
          <w:sz w:val="24"/>
          <w:szCs w:val="24"/>
        </w:rPr>
        <w:t xml:space="preserve">, S., Petrova, G., </w:t>
      </w:r>
      <w:proofErr w:type="spellStart"/>
      <w:r w:rsidRPr="00402413">
        <w:rPr>
          <w:sz w:val="24"/>
          <w:szCs w:val="24"/>
        </w:rPr>
        <w:t>Gerasimov</w:t>
      </w:r>
      <w:proofErr w:type="spellEnd"/>
      <w:r w:rsidRPr="00402413">
        <w:rPr>
          <w:sz w:val="24"/>
          <w:szCs w:val="24"/>
        </w:rPr>
        <w:t xml:space="preserve">, N. </w:t>
      </w:r>
      <w:proofErr w:type="spellStart"/>
      <w:r w:rsidRPr="00402413">
        <w:rPr>
          <w:sz w:val="24"/>
          <w:szCs w:val="24"/>
        </w:rPr>
        <w:t>Evaluation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mechanical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alterations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explanted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Series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Biomechanics</w:t>
      </w:r>
      <w:proofErr w:type="spellEnd"/>
      <w:r w:rsidRPr="00402413">
        <w:rPr>
          <w:sz w:val="24"/>
          <w:szCs w:val="24"/>
        </w:rPr>
        <w:t xml:space="preserve"> 2015; 29 (2-3): 73-77</w:t>
      </w:r>
    </w:p>
    <w:p w14:paraId="61D3DBA0" w14:textId="7B27FF54" w:rsidR="00402413" w:rsidRPr="00402413" w:rsidRDefault="0025517F" w:rsidP="0025517F">
      <w:pPr>
        <w:ind w:left="1134"/>
        <w:rPr>
          <w:sz w:val="24"/>
          <w:szCs w:val="24"/>
        </w:rPr>
      </w:pPr>
      <w:proofErr w:type="spellStart"/>
      <w:r w:rsidRPr="0025517F">
        <w:rPr>
          <w:sz w:val="24"/>
          <w:szCs w:val="24"/>
        </w:rPr>
        <w:t>Abstract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effects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time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mechanical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explanted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were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investigated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Tensile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test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was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applied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to</w:t>
      </w:r>
      <w:proofErr w:type="spellEnd"/>
      <w:r w:rsidRPr="0025517F">
        <w:rPr>
          <w:sz w:val="24"/>
          <w:szCs w:val="24"/>
        </w:rPr>
        <w:t xml:space="preserve">  </w:t>
      </w:r>
      <w:proofErr w:type="spellStart"/>
      <w:r w:rsidRPr="0025517F">
        <w:rPr>
          <w:sz w:val="24"/>
          <w:szCs w:val="24"/>
        </w:rPr>
        <w:t>mesh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specimens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from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Surgimech</w:t>
      </w:r>
      <w:proofErr w:type="spellEnd"/>
      <w:r w:rsidRPr="0025517F">
        <w:rPr>
          <w:sz w:val="24"/>
          <w:szCs w:val="24"/>
        </w:rPr>
        <w:t xml:space="preserve"> (SM)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explanted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cut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along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rows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loops</w:t>
      </w:r>
      <w:proofErr w:type="spellEnd"/>
      <w:r w:rsidRPr="0025517F">
        <w:rPr>
          <w:sz w:val="24"/>
          <w:szCs w:val="24"/>
        </w:rPr>
        <w:t xml:space="preserve">(T </w:t>
      </w:r>
      <w:proofErr w:type="spellStart"/>
      <w:r w:rsidRPr="0025517F">
        <w:rPr>
          <w:sz w:val="24"/>
          <w:szCs w:val="24"/>
        </w:rPr>
        <w:t>direction</w:t>
      </w:r>
      <w:proofErr w:type="spellEnd"/>
      <w:r w:rsidRPr="0025517F">
        <w:rPr>
          <w:sz w:val="24"/>
          <w:szCs w:val="24"/>
        </w:rPr>
        <w:t xml:space="preserve">)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parallel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to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column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loops</w:t>
      </w:r>
      <w:proofErr w:type="spellEnd"/>
      <w:r w:rsidRPr="0025517F">
        <w:rPr>
          <w:sz w:val="24"/>
          <w:szCs w:val="24"/>
        </w:rPr>
        <w:t xml:space="preserve"> (L </w:t>
      </w:r>
      <w:proofErr w:type="spellStart"/>
      <w:r w:rsidRPr="0025517F">
        <w:rPr>
          <w:sz w:val="24"/>
          <w:szCs w:val="24"/>
        </w:rPr>
        <w:t>direction</w:t>
      </w:r>
      <w:proofErr w:type="spellEnd"/>
      <w:r w:rsidRPr="0025517F">
        <w:rPr>
          <w:sz w:val="24"/>
          <w:szCs w:val="24"/>
        </w:rPr>
        <w:t xml:space="preserve">). </w:t>
      </w:r>
      <w:proofErr w:type="spellStart"/>
      <w:r w:rsidRPr="0025517F">
        <w:rPr>
          <w:sz w:val="24"/>
          <w:szCs w:val="24"/>
        </w:rPr>
        <w:t>From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stress</w:t>
      </w:r>
      <w:proofErr w:type="spellEnd"/>
      <w:r w:rsidRPr="0025517F">
        <w:rPr>
          <w:sz w:val="24"/>
          <w:szCs w:val="24"/>
        </w:rPr>
        <w:t xml:space="preserve"> - </w:t>
      </w:r>
      <w:proofErr w:type="spellStart"/>
      <w:r w:rsidRPr="0025517F">
        <w:rPr>
          <w:sz w:val="24"/>
          <w:szCs w:val="24"/>
        </w:rPr>
        <w:t>stretch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ratio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curves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secant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modulus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at</w:t>
      </w:r>
      <w:proofErr w:type="spellEnd"/>
      <w:r w:rsidRPr="0025517F">
        <w:rPr>
          <w:sz w:val="24"/>
          <w:szCs w:val="24"/>
        </w:rPr>
        <w:t xml:space="preserve"> 5% </w:t>
      </w:r>
      <w:proofErr w:type="spellStart"/>
      <w:r w:rsidRPr="0025517F">
        <w:rPr>
          <w:sz w:val="24"/>
          <w:szCs w:val="24"/>
        </w:rPr>
        <w:t>strain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were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determined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 </w:t>
      </w:r>
      <w:proofErr w:type="spellStart"/>
      <w:r w:rsidRPr="0025517F">
        <w:rPr>
          <w:sz w:val="24"/>
          <w:szCs w:val="24"/>
        </w:rPr>
        <w:t>average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value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secant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modulus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for</w:t>
      </w:r>
      <w:proofErr w:type="spellEnd"/>
      <w:r w:rsidRPr="0025517F">
        <w:rPr>
          <w:sz w:val="24"/>
          <w:szCs w:val="24"/>
        </w:rPr>
        <w:t xml:space="preserve"> SM </w:t>
      </w:r>
      <w:proofErr w:type="spellStart"/>
      <w:r w:rsidRPr="0025517F">
        <w:rPr>
          <w:sz w:val="24"/>
          <w:szCs w:val="24"/>
        </w:rPr>
        <w:t>was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compared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with</w:t>
      </w:r>
      <w:proofErr w:type="spellEnd"/>
      <w:r w:rsidRPr="0025517F">
        <w:rPr>
          <w:sz w:val="24"/>
          <w:szCs w:val="24"/>
        </w:rPr>
        <w:t xml:space="preserve">  </w:t>
      </w:r>
      <w:proofErr w:type="spellStart"/>
      <w:r w:rsidRPr="0025517F">
        <w:rPr>
          <w:sz w:val="24"/>
          <w:szCs w:val="24"/>
        </w:rPr>
        <w:t>secant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modulus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explanted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human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abdominal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fascia</w:t>
      </w:r>
      <w:proofErr w:type="spellEnd"/>
      <w:r w:rsidRPr="0025517F">
        <w:rPr>
          <w:sz w:val="24"/>
          <w:szCs w:val="24"/>
        </w:rPr>
        <w:t xml:space="preserve">.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results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revealed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that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long-term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changes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in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mechanical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explanted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polypropylene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hernia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mesh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and</w:t>
      </w:r>
      <w:proofErr w:type="spellEnd"/>
      <w:r w:rsidRPr="0025517F">
        <w:rPr>
          <w:sz w:val="24"/>
          <w:szCs w:val="24"/>
        </w:rPr>
        <w:t xml:space="preserve"> SM </w:t>
      </w:r>
      <w:proofErr w:type="spellStart"/>
      <w:r w:rsidRPr="0025517F">
        <w:rPr>
          <w:sz w:val="24"/>
          <w:szCs w:val="24"/>
        </w:rPr>
        <w:t>are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close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but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not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approach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the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properties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of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human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abdominal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fascia</w:t>
      </w:r>
      <w:proofErr w:type="spellEnd"/>
      <w:r w:rsidRPr="0025517F">
        <w:rPr>
          <w:sz w:val="24"/>
          <w:szCs w:val="24"/>
        </w:rPr>
        <w:t>.</w:t>
      </w:r>
    </w:p>
    <w:p w14:paraId="2FF76FA5" w14:textId="77777777" w:rsidR="0025517F" w:rsidRDefault="0025517F" w:rsidP="00402413">
      <w:pPr>
        <w:rPr>
          <w:sz w:val="24"/>
          <w:szCs w:val="24"/>
        </w:rPr>
      </w:pPr>
    </w:p>
    <w:p w14:paraId="179D678A" w14:textId="5630FA19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7. С. </w:t>
      </w:r>
      <w:proofErr w:type="spellStart"/>
      <w:r w:rsidRPr="00402413">
        <w:rPr>
          <w:sz w:val="24"/>
          <w:szCs w:val="24"/>
        </w:rPr>
        <w:t>Сопотенски</w:t>
      </w:r>
      <w:proofErr w:type="spellEnd"/>
      <w:r w:rsidRPr="00402413">
        <w:rPr>
          <w:sz w:val="24"/>
          <w:szCs w:val="24"/>
        </w:rPr>
        <w:t xml:space="preserve">, Донева М., Д. </w:t>
      </w:r>
      <w:proofErr w:type="spellStart"/>
      <w:r w:rsidRPr="00402413">
        <w:rPr>
          <w:sz w:val="24"/>
          <w:szCs w:val="24"/>
        </w:rPr>
        <w:t>Пашкулева</w:t>
      </w:r>
      <w:proofErr w:type="spellEnd"/>
      <w:r w:rsidRPr="00402413">
        <w:rPr>
          <w:sz w:val="24"/>
          <w:szCs w:val="24"/>
        </w:rPr>
        <w:t xml:space="preserve">, Н. Герасимов, Г. Петрова. </w:t>
      </w:r>
      <w:proofErr w:type="spellStart"/>
      <w:r w:rsidRPr="00402413">
        <w:rPr>
          <w:sz w:val="24"/>
          <w:szCs w:val="24"/>
        </w:rPr>
        <w:t>Херниални</w:t>
      </w:r>
      <w:proofErr w:type="spellEnd"/>
      <w:r w:rsidRPr="00402413">
        <w:rPr>
          <w:sz w:val="24"/>
          <w:szCs w:val="24"/>
        </w:rPr>
        <w:t xml:space="preserve"> платна – проблеми и решения. Български медицински журнал Х, 2016, №1: 30 – 34</w:t>
      </w:r>
    </w:p>
    <w:p w14:paraId="0287D724" w14:textId="689AEC59" w:rsidR="00402413" w:rsidRDefault="0025517F" w:rsidP="0025517F">
      <w:pPr>
        <w:ind w:left="1134"/>
        <w:jc w:val="both"/>
        <w:rPr>
          <w:sz w:val="24"/>
          <w:szCs w:val="24"/>
        </w:rPr>
      </w:pPr>
      <w:r w:rsidRPr="0025517F">
        <w:rPr>
          <w:sz w:val="24"/>
          <w:szCs w:val="24"/>
        </w:rPr>
        <w:t xml:space="preserve">Хернията е </w:t>
      </w:r>
      <w:proofErr w:type="spellStart"/>
      <w:r w:rsidRPr="0025517F">
        <w:rPr>
          <w:sz w:val="24"/>
          <w:szCs w:val="24"/>
        </w:rPr>
        <w:t>социалнозначимо</w:t>
      </w:r>
      <w:proofErr w:type="spellEnd"/>
      <w:r w:rsidRPr="0025517F">
        <w:rPr>
          <w:sz w:val="24"/>
          <w:szCs w:val="24"/>
        </w:rPr>
        <w:t xml:space="preserve"> заболяване, което води до големи </w:t>
      </w:r>
      <w:r>
        <w:rPr>
          <w:sz w:val="24"/>
          <w:szCs w:val="24"/>
        </w:rPr>
        <w:t>и</w:t>
      </w:r>
      <w:r w:rsidRPr="0025517F">
        <w:rPr>
          <w:sz w:val="24"/>
          <w:szCs w:val="24"/>
        </w:rPr>
        <w:t>кономически разходи. Годишно в САЩ се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извършват 750 000 операции на херния, които са сред петте най-чести операции в тази страна. В Германия ежегодно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се регистрират по 150 000 (0,4%) нови случая на </w:t>
      </w:r>
      <w:proofErr w:type="spellStart"/>
      <w:r w:rsidRPr="0025517F">
        <w:rPr>
          <w:sz w:val="24"/>
          <w:szCs w:val="24"/>
        </w:rPr>
        <w:t>ингвинална</w:t>
      </w:r>
      <w:proofErr w:type="spellEnd"/>
      <w:r w:rsidRPr="0025517F">
        <w:rPr>
          <w:sz w:val="24"/>
          <w:szCs w:val="24"/>
        </w:rPr>
        <w:t xml:space="preserve"> херния, а делът на </w:t>
      </w:r>
      <w:proofErr w:type="spellStart"/>
      <w:r w:rsidRPr="0025517F">
        <w:rPr>
          <w:sz w:val="24"/>
          <w:szCs w:val="24"/>
        </w:rPr>
        <w:t>херниотомията</w:t>
      </w:r>
      <w:proofErr w:type="spellEnd"/>
      <w:r w:rsidRPr="0025517F">
        <w:rPr>
          <w:sz w:val="24"/>
          <w:szCs w:val="24"/>
        </w:rPr>
        <w:t xml:space="preserve"> е около 10-15% от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всички операции. В Русия 3-4% от населението страда от хернии. Настоящото проучване представя анализ на про-</w:t>
      </w:r>
      <w:r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блемите</w:t>
      </w:r>
      <w:proofErr w:type="spellEnd"/>
      <w:r w:rsidRPr="0025517F">
        <w:rPr>
          <w:sz w:val="24"/>
          <w:szCs w:val="24"/>
        </w:rPr>
        <w:t xml:space="preserve"> и решенията при избор на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платна, които следва да се имат предвид от хирурзите и работещите в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тази област. Разгледани са значението на характеристиките на </w:t>
      </w:r>
      <w:proofErr w:type="spellStart"/>
      <w:r w:rsidRPr="0025517F">
        <w:rPr>
          <w:sz w:val="24"/>
          <w:szCs w:val="24"/>
        </w:rPr>
        <w:t>херниалните</w:t>
      </w:r>
      <w:proofErr w:type="spellEnd"/>
      <w:r w:rsidRPr="0025517F">
        <w:rPr>
          <w:sz w:val="24"/>
          <w:szCs w:val="24"/>
        </w:rPr>
        <w:t xml:space="preserve"> платна, основните проблеми при операциите на херния, които са различните видове усложнения, </w:t>
      </w:r>
      <w:proofErr w:type="spellStart"/>
      <w:r w:rsidRPr="0025517F">
        <w:rPr>
          <w:sz w:val="24"/>
          <w:szCs w:val="24"/>
        </w:rPr>
        <w:t>реоперациите</w:t>
      </w:r>
      <w:proofErr w:type="spellEnd"/>
      <w:r w:rsidRPr="0025517F">
        <w:rPr>
          <w:sz w:val="24"/>
          <w:szCs w:val="24"/>
        </w:rPr>
        <w:t xml:space="preserve"> и леталният изход. </w:t>
      </w:r>
      <w:proofErr w:type="spellStart"/>
      <w:r w:rsidRPr="0025517F">
        <w:rPr>
          <w:sz w:val="24"/>
          <w:szCs w:val="24"/>
        </w:rPr>
        <w:t>Херниалните</w:t>
      </w:r>
      <w:proofErr w:type="spellEnd"/>
      <w:r w:rsidRPr="0025517F">
        <w:rPr>
          <w:sz w:val="24"/>
          <w:szCs w:val="24"/>
        </w:rPr>
        <w:t xml:space="preserve"> платна се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lastRenderedPageBreak/>
        <w:t xml:space="preserve">подбират само по здравина и размер, а липсва съгласуваност според тяхната еластичност и </w:t>
      </w:r>
      <w:proofErr w:type="spellStart"/>
      <w:r w:rsidRPr="0025517F">
        <w:rPr>
          <w:sz w:val="24"/>
          <w:szCs w:val="24"/>
        </w:rPr>
        <w:t>деформируемост</w:t>
      </w:r>
      <w:proofErr w:type="spellEnd"/>
      <w:r w:rsidRPr="0025517F">
        <w:rPr>
          <w:sz w:val="24"/>
          <w:szCs w:val="24"/>
        </w:rPr>
        <w:t>, което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причинява концентрация на напреженията по шевовете. В заключение може да се каже, че поради липса на описание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на техническите характеристики на платната върху опаковките им се налага създаване на регистър, описващ тези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характеристики, което налага изследването на механичните свойства на всяко платно, предлагано за имплантиране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в клиничната практика.</w:t>
      </w:r>
    </w:p>
    <w:p w14:paraId="67473722" w14:textId="77777777" w:rsidR="0025517F" w:rsidRPr="00402413" w:rsidRDefault="0025517F" w:rsidP="0025517F">
      <w:pPr>
        <w:rPr>
          <w:sz w:val="24"/>
          <w:szCs w:val="24"/>
        </w:rPr>
      </w:pPr>
    </w:p>
    <w:p w14:paraId="30553ECB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8. Донева М., С. </w:t>
      </w:r>
      <w:proofErr w:type="spellStart"/>
      <w:r w:rsidRPr="00402413">
        <w:rPr>
          <w:sz w:val="24"/>
          <w:szCs w:val="24"/>
        </w:rPr>
        <w:t>Сопотенски</w:t>
      </w:r>
      <w:proofErr w:type="spellEnd"/>
      <w:r w:rsidRPr="00402413">
        <w:rPr>
          <w:sz w:val="24"/>
          <w:szCs w:val="24"/>
        </w:rPr>
        <w:t>, Н. Герасимов, Г. Петрова. Качество на живот при конвенционална операция от херния. Обща медицина 2018; 20 (2): 48-52</w:t>
      </w:r>
    </w:p>
    <w:p w14:paraId="09FDFFF9" w14:textId="681BC9D3" w:rsidR="00402413" w:rsidRDefault="0025517F" w:rsidP="0025517F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5517F">
        <w:rPr>
          <w:sz w:val="24"/>
          <w:szCs w:val="24"/>
        </w:rPr>
        <w:t>статията се оценява качеството на живот при конвенционална операция от херния с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имплантирани леки или стандартни </w:t>
      </w:r>
      <w:proofErr w:type="spellStart"/>
      <w:r w:rsidRPr="0025517F">
        <w:rPr>
          <w:sz w:val="24"/>
          <w:szCs w:val="24"/>
        </w:rPr>
        <w:t>полипропиленови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херниални</w:t>
      </w:r>
      <w:proofErr w:type="spellEnd"/>
      <w:r w:rsidRPr="0025517F">
        <w:rPr>
          <w:sz w:val="24"/>
          <w:szCs w:val="24"/>
        </w:rPr>
        <w:t xml:space="preserve"> платна (TiO2, </w:t>
      </w:r>
      <w:proofErr w:type="spellStart"/>
      <w:r w:rsidRPr="0025517F">
        <w:rPr>
          <w:sz w:val="24"/>
          <w:szCs w:val="24"/>
        </w:rPr>
        <w:t>Parietene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Surgimesh</w:t>
      </w:r>
      <w:proofErr w:type="spellEnd"/>
      <w:r w:rsidRPr="002551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Microval</w:t>
      </w:r>
      <w:proofErr w:type="spellEnd"/>
      <w:r w:rsidRPr="0025517F">
        <w:rPr>
          <w:sz w:val="24"/>
          <w:szCs w:val="24"/>
        </w:rPr>
        <w:t xml:space="preserve"> – PP, </w:t>
      </w:r>
      <w:proofErr w:type="spellStart"/>
      <w:r w:rsidRPr="0025517F">
        <w:rPr>
          <w:sz w:val="24"/>
          <w:szCs w:val="24"/>
        </w:rPr>
        <w:t>Surgipro</w:t>
      </w:r>
      <w:proofErr w:type="spellEnd"/>
      <w:r w:rsidRPr="0025517F">
        <w:rPr>
          <w:sz w:val="24"/>
          <w:szCs w:val="24"/>
        </w:rPr>
        <w:t>). Анкетирани са общо 68 пациенти с анкета EuroQoL5D. Сравнено е качеството на живот на пациентите един ден и 3 месеца след операцията. Резултатите показват, че три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месеца след операцията пациентите не съобщават за проблеми с двигателната активност, самообслужването и обичайните дейности, а само за болка. 24.5% от пациентите изпитват лека болка и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20.3% – силна болка. Няма статистически значима разлика в нивото на болката според използваното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платно, но в групата с имплантирани стандартни платна пациентите, изпитващи силна болка, са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повече – 23.53% спрямо 16.67%. Пациентите са помолени да оценят самостоятелно състоянието си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след операцията, използвайки скала от 100 точки. В края на изследвания период средният брой точки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е 82.24, което показва, че те оценяват състоянието си като много добро.</w:t>
      </w:r>
    </w:p>
    <w:p w14:paraId="19C5AB80" w14:textId="77777777" w:rsidR="0025517F" w:rsidRPr="00402413" w:rsidRDefault="0025517F" w:rsidP="0025517F">
      <w:pPr>
        <w:rPr>
          <w:sz w:val="24"/>
          <w:szCs w:val="24"/>
        </w:rPr>
      </w:pPr>
    </w:p>
    <w:p w14:paraId="7051A415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9. Миткова, Н. Герасимов. Литературен преглед на резултатите от терапия на хронични заболявания с фиксирани </w:t>
      </w:r>
      <w:proofErr w:type="spellStart"/>
      <w:r w:rsidRPr="00402413">
        <w:rPr>
          <w:sz w:val="24"/>
          <w:szCs w:val="24"/>
        </w:rPr>
        <w:t>дозови</w:t>
      </w:r>
      <w:proofErr w:type="spellEnd"/>
      <w:r w:rsidRPr="00402413">
        <w:rPr>
          <w:sz w:val="24"/>
          <w:szCs w:val="24"/>
        </w:rPr>
        <w:t xml:space="preserve"> комбинации. Български медицински журнал, 2020; 2: 32-38</w:t>
      </w:r>
    </w:p>
    <w:p w14:paraId="270C59AF" w14:textId="5879CCD0" w:rsidR="00402413" w:rsidRDefault="0025517F" w:rsidP="0070075C">
      <w:pPr>
        <w:ind w:left="1134"/>
        <w:jc w:val="both"/>
        <w:rPr>
          <w:sz w:val="24"/>
          <w:szCs w:val="24"/>
        </w:rPr>
      </w:pPr>
      <w:r w:rsidRPr="0025517F">
        <w:rPr>
          <w:sz w:val="24"/>
          <w:szCs w:val="24"/>
        </w:rPr>
        <w:t xml:space="preserve">Резюме. Фиксираната </w:t>
      </w:r>
      <w:proofErr w:type="spellStart"/>
      <w:r w:rsidRPr="0025517F">
        <w:rPr>
          <w:sz w:val="24"/>
          <w:szCs w:val="24"/>
        </w:rPr>
        <w:t>дозова</w:t>
      </w:r>
      <w:proofErr w:type="spellEnd"/>
      <w:r w:rsidRPr="0025517F">
        <w:rPr>
          <w:sz w:val="24"/>
          <w:szCs w:val="24"/>
        </w:rPr>
        <w:t xml:space="preserve"> комбинация (ФДК) съдържа две или повече активни вещества, комбинирани в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един лекарствен продукт. Фиксираните </w:t>
      </w:r>
      <w:proofErr w:type="spellStart"/>
      <w:r w:rsidRPr="0025517F">
        <w:rPr>
          <w:sz w:val="24"/>
          <w:szCs w:val="24"/>
        </w:rPr>
        <w:t>дозови</w:t>
      </w:r>
      <w:proofErr w:type="spellEnd"/>
      <w:r w:rsidRPr="0025517F">
        <w:rPr>
          <w:sz w:val="24"/>
          <w:szCs w:val="24"/>
        </w:rPr>
        <w:t xml:space="preserve"> комбинации често се използват при хронични заболявания като</w:t>
      </w:r>
      <w:r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хипертония, диабет, HIV, туберкулоза и др. Цел на анализа е да се систематизират научните публикации и </w:t>
      </w:r>
      <w:proofErr w:type="spellStart"/>
      <w:r w:rsidRPr="0025517F">
        <w:rPr>
          <w:sz w:val="24"/>
          <w:szCs w:val="24"/>
        </w:rPr>
        <w:t>метаанализи</w:t>
      </w:r>
      <w:proofErr w:type="spellEnd"/>
      <w:r w:rsidRPr="0025517F">
        <w:rPr>
          <w:sz w:val="24"/>
          <w:szCs w:val="24"/>
        </w:rPr>
        <w:t xml:space="preserve">, представящи резултати от терапията с фиксирани </w:t>
      </w:r>
      <w:proofErr w:type="spellStart"/>
      <w:r w:rsidRPr="0025517F">
        <w:rPr>
          <w:sz w:val="24"/>
          <w:szCs w:val="24"/>
        </w:rPr>
        <w:t>дозови</w:t>
      </w:r>
      <w:proofErr w:type="spellEnd"/>
      <w:r w:rsidRPr="0025517F">
        <w:rPr>
          <w:sz w:val="24"/>
          <w:szCs w:val="24"/>
        </w:rPr>
        <w:t xml:space="preserve"> комбинации. Проведено е търсене в информационните бази данни </w:t>
      </w:r>
      <w:proofErr w:type="spellStart"/>
      <w:r w:rsidRPr="0025517F">
        <w:rPr>
          <w:sz w:val="24"/>
          <w:szCs w:val="24"/>
        </w:rPr>
        <w:t>Scopus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PubMed</w:t>
      </w:r>
      <w:proofErr w:type="spellEnd"/>
      <w:r w:rsidRPr="0025517F">
        <w:rPr>
          <w:sz w:val="24"/>
          <w:szCs w:val="24"/>
        </w:rPr>
        <w:t xml:space="preserve">, </w:t>
      </w:r>
      <w:proofErr w:type="spellStart"/>
      <w:r w:rsidRPr="0025517F">
        <w:rPr>
          <w:sz w:val="24"/>
          <w:szCs w:val="24"/>
        </w:rPr>
        <w:t>Google</w:t>
      </w:r>
      <w:proofErr w:type="spellEnd"/>
      <w:r w:rsidRPr="0025517F">
        <w:rPr>
          <w:sz w:val="24"/>
          <w:szCs w:val="24"/>
        </w:rPr>
        <w:t xml:space="preserve"> </w:t>
      </w:r>
      <w:proofErr w:type="spellStart"/>
      <w:r w:rsidRPr="0025517F">
        <w:rPr>
          <w:sz w:val="24"/>
          <w:szCs w:val="24"/>
        </w:rPr>
        <w:t>Scholar</w:t>
      </w:r>
      <w:proofErr w:type="spellEnd"/>
      <w:r w:rsidRPr="0025517F">
        <w:rPr>
          <w:sz w:val="24"/>
          <w:szCs w:val="24"/>
        </w:rPr>
        <w:t>. Подбрани са публикации и анализи, общо 28 на брой,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които дават информация за резултатите от употребата на ФДК и приложимостта им спрямо </w:t>
      </w:r>
      <w:proofErr w:type="spellStart"/>
      <w:r w:rsidRPr="0025517F">
        <w:rPr>
          <w:sz w:val="24"/>
          <w:szCs w:val="24"/>
        </w:rPr>
        <w:t>монотерапия</w:t>
      </w:r>
      <w:proofErr w:type="spellEnd"/>
      <w:r w:rsidRPr="0025517F">
        <w:rPr>
          <w:sz w:val="24"/>
          <w:szCs w:val="24"/>
        </w:rPr>
        <w:t>.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Основните съобщени резултати са разделени и обособени в няколко групи – икономически, свързани със съгласието и клинични резултати. Директните медицински разходи в някои случаи са по-ниски при пациентите, лекувани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с ФДК, използват се по-малко ресурси, което съответно спестява разходи за </w:t>
      </w:r>
      <w:r w:rsidRPr="0025517F">
        <w:rPr>
          <w:sz w:val="24"/>
          <w:szCs w:val="24"/>
        </w:rPr>
        <w:lastRenderedPageBreak/>
        <w:t>лечение на хронични заболявания и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усложнения. Всички проучвания, които разглеждат промяната в съгласието и придържането, подчертават, че то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 xml:space="preserve">се подобрява след терапия с ФДК, което съответно подобрява клиничните резултати. Няколко проучвания и </w:t>
      </w:r>
      <w:proofErr w:type="spellStart"/>
      <w:r w:rsidRPr="0025517F">
        <w:rPr>
          <w:sz w:val="24"/>
          <w:szCs w:val="24"/>
        </w:rPr>
        <w:t>метаанализи</w:t>
      </w:r>
      <w:proofErr w:type="spellEnd"/>
      <w:r w:rsidRPr="0025517F">
        <w:rPr>
          <w:sz w:val="24"/>
          <w:szCs w:val="24"/>
        </w:rPr>
        <w:t xml:space="preserve"> съобщават, че няма съществено значение по отношение на постигнатите терапевтични резултати,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а в други са регистрирани подобрения в ефективността. Съобщени са също някои трудности при употребата на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ФДК, а именно – дозирането, нежеланите лекарствени реакции и др. Голям брой проучвания разглеждат терапията с ФДК като алтернативна възможност за пациенти, приемащи голям брой лекарствени продукти. Все повече</w:t>
      </w:r>
      <w:r w:rsidR="0070075C">
        <w:rPr>
          <w:sz w:val="24"/>
          <w:szCs w:val="24"/>
        </w:rPr>
        <w:t xml:space="preserve"> </w:t>
      </w:r>
      <w:r w:rsidRPr="0025517F">
        <w:rPr>
          <w:sz w:val="24"/>
          <w:szCs w:val="24"/>
        </w:rPr>
        <w:t>доказателства потвърждават благоприятните ефекти от употребата на комбиниран продукт и са предпоставка за по-широката употреба в клиничната практика.</w:t>
      </w:r>
    </w:p>
    <w:p w14:paraId="52E8D8BE" w14:textId="77777777" w:rsidR="0025517F" w:rsidRPr="00402413" w:rsidRDefault="0025517F" w:rsidP="0025517F">
      <w:pPr>
        <w:rPr>
          <w:sz w:val="24"/>
          <w:szCs w:val="24"/>
        </w:rPr>
      </w:pPr>
    </w:p>
    <w:p w14:paraId="1FD94E91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>10. М. Донева, Н. Герасимов. Разпространение, разходи за лечение, качество на живот и прогнозиране на развитието на ХОББ в България. Български медицински журнал, 2020; 2: 45-53</w:t>
      </w:r>
    </w:p>
    <w:p w14:paraId="35CF15D3" w14:textId="5F2BE94B" w:rsidR="00402413" w:rsidRDefault="0070075C" w:rsidP="0070075C">
      <w:pPr>
        <w:ind w:left="1134"/>
        <w:jc w:val="both"/>
        <w:rPr>
          <w:sz w:val="24"/>
          <w:szCs w:val="24"/>
        </w:rPr>
      </w:pPr>
      <w:r w:rsidRPr="0070075C">
        <w:rPr>
          <w:sz w:val="24"/>
          <w:szCs w:val="24"/>
        </w:rPr>
        <w:t xml:space="preserve">Резюме. ХОББ е хронично, прогресиращо заболяване, което засяга предимно пациенти над 40 години. Характеризира се с чести </w:t>
      </w:r>
      <w:proofErr w:type="spellStart"/>
      <w:r w:rsidRPr="0070075C">
        <w:rPr>
          <w:sz w:val="24"/>
          <w:szCs w:val="24"/>
        </w:rPr>
        <w:t>екзацербации</w:t>
      </w:r>
      <w:proofErr w:type="spellEnd"/>
      <w:r w:rsidRPr="0070075C">
        <w:rPr>
          <w:sz w:val="24"/>
          <w:szCs w:val="24"/>
        </w:rPr>
        <w:t xml:space="preserve"> и влошено качество на живот. Разходите за лечение на ХОББ съставляват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значителен дял от разходите на системата за здравеопазване. Целта на статията е да се обобщят резултатите за разпространението, разходите за лечение и качеството на живот на пациентите с ХОББ в България,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както и да се представят съществуващите модели на ХОББ. Извършен е литературен преглед на публикувани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проучвания с ключови думи разходи за лечение, качество на живот при ХОББ в България, моделиране на ХОББ в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България. В научната литература са открити общо 32 проучвания, проведени от български изследователи, засягащи въпроси относно епидемиологията, разходите за лечение, качеството на живот, придържането към терапията на пациенти с ХОББ в България и прогнозирането на развитието на заболяването при пациенти с ХОББ.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Проучванията описват икономическата тежест и съществуващата клинична практика относно приложението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на лекарства за контрол на ХОББ. Най-дългото от тях, представящо дългосрочните терапевтични резултати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е двегодишно. През последните години е разработен еднопосочен, статичен Марковски модел на развитие на</w:t>
      </w:r>
      <w:r>
        <w:rPr>
          <w:sz w:val="24"/>
          <w:szCs w:val="24"/>
        </w:rPr>
        <w:t xml:space="preserve"> </w:t>
      </w:r>
      <w:r w:rsidRPr="0070075C">
        <w:rPr>
          <w:sz w:val="24"/>
          <w:szCs w:val="24"/>
        </w:rPr>
        <w:t>заболяването, който отразява прогреса на лечението на болестта.</w:t>
      </w:r>
    </w:p>
    <w:p w14:paraId="1E909FB0" w14:textId="77777777" w:rsidR="0070075C" w:rsidRPr="00402413" w:rsidRDefault="0070075C" w:rsidP="0070075C">
      <w:pPr>
        <w:rPr>
          <w:sz w:val="24"/>
          <w:szCs w:val="24"/>
        </w:rPr>
      </w:pPr>
    </w:p>
    <w:p w14:paraId="6484FFB7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11. С. Георгиева, Н. Герасимов. </w:t>
      </w:r>
      <w:proofErr w:type="spellStart"/>
      <w:r w:rsidRPr="00402413">
        <w:rPr>
          <w:sz w:val="24"/>
          <w:szCs w:val="24"/>
        </w:rPr>
        <w:t>Фармакоикономически</w:t>
      </w:r>
      <w:proofErr w:type="spellEnd"/>
      <w:r w:rsidRPr="00402413">
        <w:rPr>
          <w:sz w:val="24"/>
          <w:szCs w:val="24"/>
        </w:rPr>
        <w:t xml:space="preserve"> модели на социално значими заболявания в българската терапевтична практика. Български медицински журнал, 2020; 2: 53-56</w:t>
      </w:r>
    </w:p>
    <w:p w14:paraId="528B4C6A" w14:textId="32A06B37" w:rsidR="00402413" w:rsidRDefault="00720051" w:rsidP="0070075C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075C" w:rsidRPr="0070075C">
        <w:rPr>
          <w:sz w:val="24"/>
          <w:szCs w:val="24"/>
        </w:rPr>
        <w:t xml:space="preserve">Резюме. Фиксираната </w:t>
      </w:r>
      <w:proofErr w:type="spellStart"/>
      <w:r w:rsidR="0070075C" w:rsidRPr="0070075C">
        <w:rPr>
          <w:sz w:val="24"/>
          <w:szCs w:val="24"/>
        </w:rPr>
        <w:t>дозова</w:t>
      </w:r>
      <w:proofErr w:type="spellEnd"/>
      <w:r w:rsidR="0070075C" w:rsidRPr="0070075C">
        <w:rPr>
          <w:sz w:val="24"/>
          <w:szCs w:val="24"/>
        </w:rPr>
        <w:t xml:space="preserve"> комбинация (ФДК) съдържа две или повече активни вещества, комбинирани в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 xml:space="preserve">един лекарствен продукт. Фиксираните </w:t>
      </w:r>
      <w:proofErr w:type="spellStart"/>
      <w:r w:rsidR="0070075C" w:rsidRPr="0070075C">
        <w:rPr>
          <w:sz w:val="24"/>
          <w:szCs w:val="24"/>
        </w:rPr>
        <w:lastRenderedPageBreak/>
        <w:t>дозови</w:t>
      </w:r>
      <w:proofErr w:type="spellEnd"/>
      <w:r w:rsidR="0070075C" w:rsidRPr="0070075C">
        <w:rPr>
          <w:sz w:val="24"/>
          <w:szCs w:val="24"/>
        </w:rPr>
        <w:t xml:space="preserve"> комбинации често се използват при хронични заболявания като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 xml:space="preserve">хипертония, диабет, HIV, туберкулоза и др. Цел на анализа е да се систематизират научните публикации и </w:t>
      </w:r>
      <w:proofErr w:type="spellStart"/>
      <w:r w:rsidR="0070075C" w:rsidRPr="0070075C">
        <w:rPr>
          <w:sz w:val="24"/>
          <w:szCs w:val="24"/>
        </w:rPr>
        <w:t>метаанализи</w:t>
      </w:r>
      <w:proofErr w:type="spellEnd"/>
      <w:r w:rsidR="0070075C" w:rsidRPr="0070075C">
        <w:rPr>
          <w:sz w:val="24"/>
          <w:szCs w:val="24"/>
        </w:rPr>
        <w:t xml:space="preserve">, представящи резултати от терапията с фиксирани </w:t>
      </w:r>
      <w:proofErr w:type="spellStart"/>
      <w:r w:rsidR="0070075C" w:rsidRPr="0070075C">
        <w:rPr>
          <w:sz w:val="24"/>
          <w:szCs w:val="24"/>
        </w:rPr>
        <w:t>дозови</w:t>
      </w:r>
      <w:proofErr w:type="spellEnd"/>
      <w:r w:rsidR="0070075C" w:rsidRPr="0070075C">
        <w:rPr>
          <w:sz w:val="24"/>
          <w:szCs w:val="24"/>
        </w:rPr>
        <w:t xml:space="preserve"> комбинации. Проведено е търсене в информационните бази данни </w:t>
      </w:r>
      <w:proofErr w:type="spellStart"/>
      <w:r w:rsidR="0070075C" w:rsidRPr="0070075C">
        <w:rPr>
          <w:sz w:val="24"/>
          <w:szCs w:val="24"/>
        </w:rPr>
        <w:t>Scopus</w:t>
      </w:r>
      <w:proofErr w:type="spellEnd"/>
      <w:r w:rsidR="0070075C" w:rsidRPr="0070075C">
        <w:rPr>
          <w:sz w:val="24"/>
          <w:szCs w:val="24"/>
        </w:rPr>
        <w:t xml:space="preserve">, </w:t>
      </w:r>
      <w:proofErr w:type="spellStart"/>
      <w:r w:rsidR="0070075C" w:rsidRPr="0070075C">
        <w:rPr>
          <w:sz w:val="24"/>
          <w:szCs w:val="24"/>
        </w:rPr>
        <w:t>PubMed</w:t>
      </w:r>
      <w:proofErr w:type="spellEnd"/>
      <w:r w:rsidR="0070075C" w:rsidRPr="0070075C">
        <w:rPr>
          <w:sz w:val="24"/>
          <w:szCs w:val="24"/>
        </w:rPr>
        <w:t xml:space="preserve">, </w:t>
      </w:r>
      <w:proofErr w:type="spellStart"/>
      <w:r w:rsidR="0070075C" w:rsidRPr="0070075C">
        <w:rPr>
          <w:sz w:val="24"/>
          <w:szCs w:val="24"/>
        </w:rPr>
        <w:t>Google</w:t>
      </w:r>
      <w:proofErr w:type="spellEnd"/>
      <w:r w:rsidR="0070075C" w:rsidRPr="0070075C">
        <w:rPr>
          <w:sz w:val="24"/>
          <w:szCs w:val="24"/>
        </w:rPr>
        <w:t xml:space="preserve"> </w:t>
      </w:r>
      <w:proofErr w:type="spellStart"/>
      <w:r w:rsidR="0070075C" w:rsidRPr="0070075C">
        <w:rPr>
          <w:sz w:val="24"/>
          <w:szCs w:val="24"/>
        </w:rPr>
        <w:t>Scholar</w:t>
      </w:r>
      <w:proofErr w:type="spellEnd"/>
      <w:r w:rsidR="0070075C" w:rsidRPr="0070075C">
        <w:rPr>
          <w:sz w:val="24"/>
          <w:szCs w:val="24"/>
        </w:rPr>
        <w:t>. Подбрани са публикации и анализи, общо 28 на брой,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 xml:space="preserve">които дават информация за резултатите от употребата на ФДК и приложимостта им спрямо </w:t>
      </w:r>
      <w:proofErr w:type="spellStart"/>
      <w:r w:rsidR="0070075C" w:rsidRPr="0070075C">
        <w:rPr>
          <w:sz w:val="24"/>
          <w:szCs w:val="24"/>
        </w:rPr>
        <w:t>монотерапия</w:t>
      </w:r>
      <w:proofErr w:type="spellEnd"/>
      <w:r w:rsidR="0070075C" w:rsidRPr="0070075C">
        <w:rPr>
          <w:sz w:val="24"/>
          <w:szCs w:val="24"/>
        </w:rPr>
        <w:t>.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>Основните съобщени резултати са разделени и обособени в няколко групи – икономически, свързани със съгласието и клинични резултати. Директните медицински разходи в някои случаи са по-ниски при пациентите, лекувани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>с ФДК, използват се по-малко ресурси, което съответно спестява разходи за лечение на хронични заболявания и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>усложнения. Всички проучвания, които разглеждат промяната в съгласието и придържането, подчертават, че то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 xml:space="preserve">се подобрява след терапия с ФДК, което съответно подобрява клиничните резултати. Няколко проучвания и </w:t>
      </w:r>
      <w:proofErr w:type="spellStart"/>
      <w:r w:rsidR="0070075C" w:rsidRPr="0070075C">
        <w:rPr>
          <w:sz w:val="24"/>
          <w:szCs w:val="24"/>
        </w:rPr>
        <w:t>метаанализи</w:t>
      </w:r>
      <w:proofErr w:type="spellEnd"/>
      <w:r w:rsidR="0070075C" w:rsidRPr="0070075C">
        <w:rPr>
          <w:sz w:val="24"/>
          <w:szCs w:val="24"/>
        </w:rPr>
        <w:t xml:space="preserve"> съобщават, че няма съществено значение по отношение на постигнатите терапевтични резултати,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>а в други са регистрирани подобрения в ефективността. Съобщени са също някои трудности при употребата на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>ФДК, а именно – дозирането, нежеланите лекарствени реакции и др. Голям брой проучвания разглеждат терапията с ФДК като алтернативна възможност за пациенти, приемащи голям брой лекарствени продукти. Все повече</w:t>
      </w:r>
      <w:r w:rsidR="0070075C">
        <w:rPr>
          <w:sz w:val="24"/>
          <w:szCs w:val="24"/>
        </w:rPr>
        <w:t xml:space="preserve"> </w:t>
      </w:r>
      <w:r w:rsidR="0070075C" w:rsidRPr="0070075C">
        <w:rPr>
          <w:sz w:val="24"/>
          <w:szCs w:val="24"/>
        </w:rPr>
        <w:t>доказателства потвърждават благоприятните ефекти от употребата на комбиниран продукт и са предпоставка за по-широката употреба в клиничната практика.</w:t>
      </w:r>
    </w:p>
    <w:p w14:paraId="7BE3CA00" w14:textId="77777777" w:rsidR="0070075C" w:rsidRPr="00402413" w:rsidRDefault="0070075C" w:rsidP="0070075C">
      <w:pPr>
        <w:rPr>
          <w:sz w:val="24"/>
          <w:szCs w:val="24"/>
        </w:rPr>
      </w:pPr>
    </w:p>
    <w:p w14:paraId="14DE69A2" w14:textId="60855198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12. </w:t>
      </w:r>
      <w:proofErr w:type="spellStart"/>
      <w:r w:rsidRPr="00402413">
        <w:rPr>
          <w:sz w:val="24"/>
          <w:szCs w:val="24"/>
        </w:rPr>
        <w:t>Ковачка</w:t>
      </w:r>
      <w:proofErr w:type="spellEnd"/>
      <w:r w:rsidRPr="00402413">
        <w:rPr>
          <w:sz w:val="24"/>
          <w:szCs w:val="24"/>
        </w:rPr>
        <w:t xml:space="preserve"> Г., Н. Герасимов, М. </w:t>
      </w:r>
      <w:proofErr w:type="spellStart"/>
      <w:r w:rsidRPr="00402413">
        <w:rPr>
          <w:sz w:val="24"/>
          <w:szCs w:val="24"/>
        </w:rPr>
        <w:t>Камушева</w:t>
      </w:r>
      <w:proofErr w:type="spellEnd"/>
      <w:r w:rsidRPr="00402413">
        <w:rPr>
          <w:sz w:val="24"/>
          <w:szCs w:val="24"/>
        </w:rPr>
        <w:t xml:space="preserve">. Достъпност и </w:t>
      </w:r>
      <w:proofErr w:type="spellStart"/>
      <w:r w:rsidRPr="00402413">
        <w:rPr>
          <w:sz w:val="24"/>
          <w:szCs w:val="24"/>
        </w:rPr>
        <w:t>реимбурсиране</w:t>
      </w:r>
      <w:proofErr w:type="spellEnd"/>
      <w:r w:rsidRPr="00402413">
        <w:rPr>
          <w:sz w:val="24"/>
          <w:szCs w:val="24"/>
        </w:rPr>
        <w:t xml:space="preserve"> на терапията</w:t>
      </w:r>
      <w:r w:rsidR="0070075C">
        <w:rPr>
          <w:sz w:val="24"/>
          <w:szCs w:val="24"/>
        </w:rPr>
        <w:t xml:space="preserve"> </w:t>
      </w:r>
      <w:r w:rsidRPr="00402413">
        <w:rPr>
          <w:sz w:val="24"/>
          <w:szCs w:val="24"/>
        </w:rPr>
        <w:t xml:space="preserve">с </w:t>
      </w:r>
      <w:proofErr w:type="spellStart"/>
      <w:r w:rsidRPr="00402413">
        <w:rPr>
          <w:sz w:val="24"/>
          <w:szCs w:val="24"/>
        </w:rPr>
        <w:t>антихиперлипидемични</w:t>
      </w:r>
      <w:proofErr w:type="spellEnd"/>
      <w:r w:rsidRPr="00402413">
        <w:rPr>
          <w:sz w:val="24"/>
          <w:szCs w:val="24"/>
        </w:rPr>
        <w:t xml:space="preserve"> лекарствени продукти в България. Сърдечно съдови </w:t>
      </w:r>
      <w:r w:rsidR="0070075C">
        <w:rPr>
          <w:sz w:val="24"/>
          <w:szCs w:val="24"/>
        </w:rPr>
        <w:t>з</w:t>
      </w:r>
      <w:r w:rsidRPr="00402413">
        <w:rPr>
          <w:sz w:val="24"/>
          <w:szCs w:val="24"/>
        </w:rPr>
        <w:t>аболявания, 2020; 2: 10-16</w:t>
      </w:r>
    </w:p>
    <w:p w14:paraId="641CB06A" w14:textId="36EB7FD8" w:rsidR="00402413" w:rsidRDefault="00720051" w:rsidP="0072005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0051">
        <w:rPr>
          <w:sz w:val="24"/>
          <w:szCs w:val="24"/>
        </w:rPr>
        <w:t xml:space="preserve">Резюме. Сърдечно-съдовите заболявания са водещи по </w:t>
      </w:r>
      <w:proofErr w:type="spellStart"/>
      <w:r w:rsidRPr="00720051">
        <w:rPr>
          <w:sz w:val="24"/>
          <w:szCs w:val="24"/>
        </w:rPr>
        <w:t>заболяемост</w:t>
      </w:r>
      <w:proofErr w:type="spellEnd"/>
      <w:r w:rsidRPr="00720051">
        <w:rPr>
          <w:sz w:val="24"/>
          <w:szCs w:val="24"/>
        </w:rPr>
        <w:t xml:space="preserve"> и смъртност в голям брой</w:t>
      </w:r>
      <w:r>
        <w:rPr>
          <w:sz w:val="24"/>
          <w:szCs w:val="24"/>
          <w:lang w:val="en-US"/>
        </w:rPr>
        <w:t xml:space="preserve"> </w:t>
      </w:r>
      <w:r w:rsidRPr="00720051">
        <w:rPr>
          <w:sz w:val="24"/>
          <w:szCs w:val="24"/>
        </w:rPr>
        <w:t xml:space="preserve">държави. </w:t>
      </w:r>
      <w:proofErr w:type="spellStart"/>
      <w:r w:rsidRPr="00720051">
        <w:rPr>
          <w:sz w:val="24"/>
          <w:szCs w:val="24"/>
        </w:rPr>
        <w:t>Хиперхолестеролемия</w:t>
      </w:r>
      <w:proofErr w:type="spellEnd"/>
      <w:r w:rsidRPr="00720051">
        <w:rPr>
          <w:sz w:val="24"/>
          <w:szCs w:val="24"/>
        </w:rPr>
        <w:t xml:space="preserve"> се наблюдава при над 50% от пациентите с остър миокарден</w:t>
      </w:r>
      <w:r>
        <w:rPr>
          <w:sz w:val="24"/>
          <w:szCs w:val="24"/>
          <w:lang w:val="en-US"/>
        </w:rPr>
        <w:t xml:space="preserve"> </w:t>
      </w:r>
      <w:r w:rsidRPr="00720051">
        <w:rPr>
          <w:sz w:val="24"/>
          <w:szCs w:val="24"/>
        </w:rPr>
        <w:t>инфаркт и хипертония в България. Проучването има за цел, от една страна, да определи достъпността на терапията за пациентите в България, а от друга страна – разходите н</w:t>
      </w:r>
      <w:r>
        <w:rPr>
          <w:sz w:val="24"/>
          <w:szCs w:val="24"/>
        </w:rPr>
        <w:t xml:space="preserve">а </w:t>
      </w:r>
      <w:r w:rsidRPr="00720051">
        <w:rPr>
          <w:sz w:val="24"/>
          <w:szCs w:val="24"/>
        </w:rPr>
        <w:t>здравната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институция НЗОК. Анализът включва всички международни непатентни наименования (INN) и лекарствени форми на </w:t>
      </w:r>
      <w:proofErr w:type="spellStart"/>
      <w:r w:rsidRPr="00720051">
        <w:rPr>
          <w:sz w:val="24"/>
          <w:szCs w:val="24"/>
        </w:rPr>
        <w:t>статини</w:t>
      </w:r>
      <w:proofErr w:type="spellEnd"/>
      <w:r w:rsidRPr="00720051">
        <w:rPr>
          <w:sz w:val="24"/>
          <w:szCs w:val="24"/>
        </w:rPr>
        <w:t xml:space="preserve"> – анатомичен терапевтичен химически (ATC) код C10AA, получили разрешение за употреба в България. Терапията със </w:t>
      </w:r>
      <w:proofErr w:type="spellStart"/>
      <w:r w:rsidRPr="00720051">
        <w:rPr>
          <w:sz w:val="24"/>
          <w:szCs w:val="24"/>
        </w:rPr>
        <w:t>статини</w:t>
      </w:r>
      <w:proofErr w:type="spellEnd"/>
      <w:r w:rsidRPr="00720051">
        <w:rPr>
          <w:sz w:val="24"/>
          <w:szCs w:val="24"/>
        </w:rPr>
        <w:t xml:space="preserve"> е достъпна за пациентите в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България. През 2018 г се наблюдава незначително подобрение спрямо 2017 г., тъй като цената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на продуктите се запазва почти непроменена, а средната работна заплата слабо се повишава.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През разглеждания период разходите на заплащащата институция намаляват за всички INN с изключение на </w:t>
      </w:r>
      <w:proofErr w:type="spellStart"/>
      <w:r w:rsidRPr="00720051">
        <w:rPr>
          <w:sz w:val="24"/>
          <w:szCs w:val="24"/>
        </w:rPr>
        <w:t>lovastatin</w:t>
      </w:r>
      <w:proofErr w:type="spellEnd"/>
      <w:r w:rsidRPr="00720051">
        <w:rPr>
          <w:sz w:val="24"/>
          <w:szCs w:val="24"/>
        </w:rPr>
        <w:t>, при който се наблюдава съвсем слабо повишение на разходите. Като цяло,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общите разходи за лечение на амбулаторни пациенти със сърдечно-съдови </w:t>
      </w:r>
      <w:r w:rsidRPr="00720051">
        <w:rPr>
          <w:sz w:val="24"/>
          <w:szCs w:val="24"/>
        </w:rPr>
        <w:lastRenderedPageBreak/>
        <w:t>заболявания (ССЗ) намаляват през 2018 г. спрямо 2017 г. и се запазва същият ръст, както регистрираният през 2016 г.</w:t>
      </w:r>
    </w:p>
    <w:p w14:paraId="737E0B94" w14:textId="77777777" w:rsidR="00720051" w:rsidRPr="00402413" w:rsidRDefault="00720051" w:rsidP="00720051">
      <w:pPr>
        <w:jc w:val="both"/>
        <w:rPr>
          <w:sz w:val="24"/>
          <w:szCs w:val="24"/>
        </w:rPr>
      </w:pPr>
    </w:p>
    <w:p w14:paraId="3BA8C932" w14:textId="77777777" w:rsidR="00402413" w:rsidRPr="00402413" w:rsidRDefault="00402413" w:rsidP="00402413">
      <w:pPr>
        <w:rPr>
          <w:sz w:val="24"/>
          <w:szCs w:val="24"/>
        </w:rPr>
      </w:pPr>
      <w:r w:rsidRPr="00402413">
        <w:rPr>
          <w:sz w:val="24"/>
          <w:szCs w:val="24"/>
        </w:rPr>
        <w:t xml:space="preserve">13. Миткова, Я. Митков, Н. Герасимов, М. </w:t>
      </w:r>
      <w:proofErr w:type="spellStart"/>
      <w:r w:rsidRPr="00402413">
        <w:rPr>
          <w:sz w:val="24"/>
          <w:szCs w:val="24"/>
        </w:rPr>
        <w:t>Камушева</w:t>
      </w:r>
      <w:proofErr w:type="spellEnd"/>
      <w:r w:rsidRPr="00402413">
        <w:rPr>
          <w:sz w:val="24"/>
          <w:szCs w:val="24"/>
        </w:rPr>
        <w:t>. Антихипертензивната терапия през погледа на пациента и на заплащащата институция. Сърдечно съдови заболявания 2020; 2: 16-24</w:t>
      </w:r>
    </w:p>
    <w:p w14:paraId="5FCDD3A8" w14:textId="1A4454BF" w:rsidR="00402413" w:rsidRDefault="00720051" w:rsidP="00720051">
      <w:pPr>
        <w:ind w:left="1276"/>
        <w:jc w:val="both"/>
        <w:rPr>
          <w:sz w:val="24"/>
          <w:szCs w:val="24"/>
        </w:rPr>
      </w:pPr>
      <w:r w:rsidRPr="00720051">
        <w:rPr>
          <w:sz w:val="24"/>
          <w:szCs w:val="24"/>
        </w:rPr>
        <w:t>Резюме. Разходите за сърдечно-съдови заболявания, като част от общите разходи за здравеопазване, варират широко – от 10% в Швеция до над 22% в България. Високият процент пациенти с усложнения от артериална хипертония е показател за късно започване на лечението, нер</w:t>
      </w:r>
      <w:r>
        <w:rPr>
          <w:sz w:val="24"/>
          <w:szCs w:val="24"/>
        </w:rPr>
        <w:t>е</w:t>
      </w:r>
      <w:r w:rsidRPr="00720051">
        <w:rPr>
          <w:sz w:val="24"/>
          <w:szCs w:val="24"/>
        </w:rPr>
        <w:t>гулярни посещения при лекаря и ниска степен на съгласие с терапията. Целта на настоящото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проучване е да се проследят, от една страна, разходите за антихипертензивна терапия на заплащащата институция НЗОК и от друга страна, да се установи отношението на пациентите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към антихипертензивната терапия като фактор, който чрез подобряване на резултатите от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терапията може да доведе до намаляване на разходите за усложнения. Извършен е ретроспективен преглед на годишните </w:t>
      </w:r>
      <w:proofErr w:type="spellStart"/>
      <w:r w:rsidRPr="00720051">
        <w:rPr>
          <w:sz w:val="24"/>
          <w:szCs w:val="24"/>
        </w:rPr>
        <w:t>реимбурсни</w:t>
      </w:r>
      <w:proofErr w:type="spellEnd"/>
      <w:r w:rsidRPr="00720051">
        <w:rPr>
          <w:sz w:val="24"/>
          <w:szCs w:val="24"/>
        </w:rPr>
        <w:t xml:space="preserve"> разходи на НЗОК за периода 2017-2019 г. за основните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класове антихипертензивни лекарствени продукти. Проведено е търсене в информационните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бази данни </w:t>
      </w:r>
      <w:proofErr w:type="spellStart"/>
      <w:r w:rsidRPr="00720051">
        <w:rPr>
          <w:sz w:val="24"/>
          <w:szCs w:val="24"/>
        </w:rPr>
        <w:t>Scopus</w:t>
      </w:r>
      <w:proofErr w:type="spellEnd"/>
      <w:r w:rsidRPr="00720051">
        <w:rPr>
          <w:sz w:val="24"/>
          <w:szCs w:val="24"/>
        </w:rPr>
        <w:t xml:space="preserve">, </w:t>
      </w:r>
      <w:proofErr w:type="spellStart"/>
      <w:r w:rsidRPr="00720051">
        <w:rPr>
          <w:sz w:val="24"/>
          <w:szCs w:val="24"/>
        </w:rPr>
        <w:t>PubMed</w:t>
      </w:r>
      <w:proofErr w:type="spellEnd"/>
      <w:r w:rsidRPr="00720051">
        <w:rPr>
          <w:sz w:val="24"/>
          <w:szCs w:val="24"/>
        </w:rPr>
        <w:t xml:space="preserve">, </w:t>
      </w:r>
      <w:proofErr w:type="spellStart"/>
      <w:r w:rsidRPr="00720051">
        <w:rPr>
          <w:sz w:val="24"/>
          <w:szCs w:val="24"/>
        </w:rPr>
        <w:t>Google</w:t>
      </w:r>
      <w:proofErr w:type="spellEnd"/>
      <w:r w:rsidRPr="00720051">
        <w:rPr>
          <w:sz w:val="24"/>
          <w:szCs w:val="24"/>
        </w:rPr>
        <w:t xml:space="preserve"> </w:t>
      </w:r>
      <w:proofErr w:type="spellStart"/>
      <w:r w:rsidRPr="00720051">
        <w:rPr>
          <w:sz w:val="24"/>
          <w:szCs w:val="24"/>
        </w:rPr>
        <w:t>Scholar</w:t>
      </w:r>
      <w:proofErr w:type="spellEnd"/>
      <w:r w:rsidRPr="00720051">
        <w:rPr>
          <w:sz w:val="24"/>
          <w:szCs w:val="24"/>
        </w:rPr>
        <w:t xml:space="preserve"> относно отношението на пациентите към антихипертензивна терапия. През последните години разходите на НЗОК за основните групи антихипертензивни лекарства, </w:t>
      </w:r>
      <w:proofErr w:type="spellStart"/>
      <w:r w:rsidRPr="00720051">
        <w:rPr>
          <w:sz w:val="24"/>
          <w:szCs w:val="24"/>
        </w:rPr>
        <w:t>реимбурсирани</w:t>
      </w:r>
      <w:proofErr w:type="spellEnd"/>
      <w:r w:rsidRPr="00720051">
        <w:rPr>
          <w:sz w:val="24"/>
          <w:szCs w:val="24"/>
        </w:rPr>
        <w:t xml:space="preserve"> за амбулаторно лечение, слабо намаляват. Най-съществено е намалението в групата на </w:t>
      </w:r>
      <w:proofErr w:type="spellStart"/>
      <w:r w:rsidRPr="00720051">
        <w:rPr>
          <w:sz w:val="24"/>
          <w:szCs w:val="24"/>
        </w:rPr>
        <w:t>сартаните</w:t>
      </w:r>
      <w:proofErr w:type="spellEnd"/>
      <w:r w:rsidRPr="00720051">
        <w:rPr>
          <w:sz w:val="24"/>
          <w:szCs w:val="24"/>
        </w:rPr>
        <w:t>, където разликата между 2017 и 2019 г. е 1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 xml:space="preserve">667 459.24 лв. Разходите за </w:t>
      </w:r>
      <w:proofErr w:type="spellStart"/>
      <w:r w:rsidRPr="00720051">
        <w:rPr>
          <w:sz w:val="24"/>
          <w:szCs w:val="24"/>
        </w:rPr>
        <w:t>диуретици</w:t>
      </w:r>
      <w:proofErr w:type="spellEnd"/>
      <w:r w:rsidRPr="00720051">
        <w:rPr>
          <w:sz w:val="24"/>
          <w:szCs w:val="24"/>
        </w:rPr>
        <w:t xml:space="preserve"> нарастват слабо през наблюдавания период – от 4</w:t>
      </w:r>
      <w:r>
        <w:rPr>
          <w:sz w:val="24"/>
          <w:szCs w:val="24"/>
        </w:rPr>
        <w:t> </w:t>
      </w:r>
      <w:r w:rsidRPr="00720051">
        <w:rPr>
          <w:sz w:val="24"/>
          <w:szCs w:val="24"/>
        </w:rPr>
        <w:t>666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282 до 4 962 422.98 лв. Преглед на проучванията за отношението на пациенти с хипертония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показва, че най-голяма част от тях съобщават нежеланите лекарствени реакции, високата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цена на терапията (или доплащането) и факта, че забравят за приема на лекарствата, като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основните причини за слаба степен на придържане към терапията. В България разходите за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антихипертензивна терапия са значителни. За постигане на очакваните терапевтични цели и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намаляване на разпространението на заболяването, както и на разходите поради усложнения,</w:t>
      </w:r>
      <w:r>
        <w:rPr>
          <w:sz w:val="24"/>
          <w:szCs w:val="24"/>
        </w:rPr>
        <w:t xml:space="preserve"> </w:t>
      </w:r>
      <w:r w:rsidRPr="00720051">
        <w:rPr>
          <w:sz w:val="24"/>
          <w:szCs w:val="24"/>
        </w:rPr>
        <w:t>отношението на пациентите е изключително важно. Всички подходи, които подобряват придържането към терапията, са предпоставка за по-добри клинични резултати и за намаляван</w:t>
      </w:r>
      <w:r>
        <w:rPr>
          <w:sz w:val="24"/>
          <w:szCs w:val="24"/>
        </w:rPr>
        <w:t xml:space="preserve">е </w:t>
      </w:r>
      <w:r w:rsidRPr="00720051">
        <w:rPr>
          <w:sz w:val="24"/>
          <w:szCs w:val="24"/>
        </w:rPr>
        <w:t>на допълнителните разходи за лечение на усложнения при пациенти с хипертония.</w:t>
      </w:r>
    </w:p>
    <w:p w14:paraId="7851F3EB" w14:textId="49D9E3F4" w:rsidR="00720051" w:rsidRDefault="00720051" w:rsidP="0070075C">
      <w:pPr>
        <w:rPr>
          <w:sz w:val="24"/>
          <w:szCs w:val="24"/>
        </w:rPr>
      </w:pPr>
    </w:p>
    <w:p w14:paraId="470AEE11" w14:textId="095BE7A2" w:rsidR="00793F66" w:rsidRDefault="00793F66" w:rsidP="0070075C">
      <w:pPr>
        <w:rPr>
          <w:sz w:val="24"/>
          <w:szCs w:val="24"/>
        </w:rPr>
      </w:pPr>
    </w:p>
    <w:p w14:paraId="25D1E315" w14:textId="77777777" w:rsidR="00793F66" w:rsidRPr="00402413" w:rsidRDefault="00793F66" w:rsidP="0070075C">
      <w:pPr>
        <w:rPr>
          <w:sz w:val="24"/>
          <w:szCs w:val="24"/>
        </w:rPr>
      </w:pPr>
    </w:p>
    <w:p w14:paraId="555D364E" w14:textId="540C872C" w:rsidR="00793F66" w:rsidRDefault="00402413" w:rsidP="0070075C">
      <w:pPr>
        <w:rPr>
          <w:sz w:val="24"/>
          <w:szCs w:val="24"/>
        </w:rPr>
      </w:pPr>
      <w:r w:rsidRPr="00402413">
        <w:rPr>
          <w:sz w:val="24"/>
          <w:szCs w:val="24"/>
        </w:rPr>
        <w:lastRenderedPageBreak/>
        <w:t xml:space="preserve">14. </w:t>
      </w:r>
      <w:r w:rsidR="00793F66">
        <w:rPr>
          <w:sz w:val="24"/>
          <w:szCs w:val="24"/>
        </w:rPr>
        <w:t xml:space="preserve">Герасимов Н. Анализ на новите моменти в еволюцията на европейското законодателство в областта на медицинските изделия. Медицински преглед, </w:t>
      </w:r>
      <w:r w:rsidR="00793F66">
        <w:rPr>
          <w:sz w:val="24"/>
          <w:szCs w:val="24"/>
          <w:lang w:val="en-US"/>
        </w:rPr>
        <w:t xml:space="preserve">2020; </w:t>
      </w:r>
      <w:r w:rsidR="00793F66">
        <w:rPr>
          <w:sz w:val="24"/>
          <w:szCs w:val="24"/>
        </w:rPr>
        <w:t>5</w:t>
      </w:r>
    </w:p>
    <w:p w14:paraId="5A8D2A2E" w14:textId="269A398D" w:rsidR="00793F66" w:rsidRPr="00793F66" w:rsidRDefault="00793F66" w:rsidP="00793F66">
      <w:p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793F66">
        <w:rPr>
          <w:rFonts w:cstheme="minorHAnsi"/>
          <w:sz w:val="24"/>
          <w:szCs w:val="24"/>
        </w:rPr>
        <w:t>Цел на настоящата работа е да представи новият регламент за медицински изделия и коментира някои аспекти на неговото приложение в практиката.</w:t>
      </w:r>
    </w:p>
    <w:p w14:paraId="74981800" w14:textId="6440F568" w:rsidR="00793F66" w:rsidRPr="00793F66" w:rsidRDefault="00793F66" w:rsidP="00793F66">
      <w:p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793F66">
        <w:rPr>
          <w:rFonts w:cstheme="minorHAnsi"/>
          <w:sz w:val="24"/>
          <w:szCs w:val="24"/>
        </w:rPr>
        <w:t>Приложен е законодателен анализ на два нови регламента в областта на  за  медицинските изделия (Регламент 2017/745/ЕС) и Регламент 2017/746/ЕС), по отношение на полето на тяхното приложение, основните изисквания, новите понятия и стандарти, които те прилагат.</w:t>
      </w:r>
    </w:p>
    <w:p w14:paraId="09DDAA6B" w14:textId="77777777" w:rsidR="00793F66" w:rsidRPr="00793F66" w:rsidRDefault="00793F66" w:rsidP="00793F66">
      <w:pPr>
        <w:ind w:left="1418"/>
        <w:jc w:val="both"/>
        <w:rPr>
          <w:rFonts w:cstheme="minorHAnsi"/>
          <w:sz w:val="24"/>
          <w:szCs w:val="24"/>
        </w:rPr>
      </w:pPr>
      <w:r w:rsidRPr="00793F66">
        <w:rPr>
          <w:rFonts w:cstheme="minorHAnsi"/>
          <w:sz w:val="24"/>
          <w:szCs w:val="24"/>
        </w:rPr>
        <w:t xml:space="preserve">Съвременните тенденции в развитието на законодателството в областта на медицинските изделия са в посока на неговото централизиране на ниво европейски държави, които се състоят в изграждане на единна система за регистрация и контрол на медицинските изделия. Все повече законодателството на медицински изделия по своята строгост и принципи се доближава до това за лекарствените продукти. </w:t>
      </w:r>
    </w:p>
    <w:p w14:paraId="7FAA7866" w14:textId="17DF8C70" w:rsidR="00793F66" w:rsidRDefault="00793F66" w:rsidP="0070075C">
      <w:pPr>
        <w:rPr>
          <w:sz w:val="24"/>
          <w:szCs w:val="24"/>
        </w:rPr>
      </w:pPr>
    </w:p>
    <w:p w14:paraId="763DBF67" w14:textId="63CCFFE7" w:rsidR="00402413" w:rsidRPr="00402413" w:rsidRDefault="00793F66" w:rsidP="0070075C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="00402413" w:rsidRPr="00402413">
        <w:rPr>
          <w:sz w:val="24"/>
          <w:szCs w:val="24"/>
        </w:rPr>
        <w:t>Doneva</w:t>
      </w:r>
      <w:proofErr w:type="spellEnd"/>
      <w:r w:rsidR="00402413" w:rsidRPr="00402413">
        <w:rPr>
          <w:sz w:val="24"/>
          <w:szCs w:val="24"/>
        </w:rPr>
        <w:t xml:space="preserve"> M., M. </w:t>
      </w:r>
      <w:proofErr w:type="spellStart"/>
      <w:r w:rsidR="00402413" w:rsidRPr="00402413">
        <w:rPr>
          <w:sz w:val="24"/>
          <w:szCs w:val="24"/>
        </w:rPr>
        <w:t>Kamusheva</w:t>
      </w:r>
      <w:proofErr w:type="spellEnd"/>
      <w:r w:rsidR="00402413" w:rsidRPr="00402413">
        <w:rPr>
          <w:sz w:val="24"/>
          <w:szCs w:val="24"/>
        </w:rPr>
        <w:t xml:space="preserve">, N. </w:t>
      </w:r>
      <w:proofErr w:type="spellStart"/>
      <w:r w:rsidR="00402413" w:rsidRPr="00402413">
        <w:rPr>
          <w:sz w:val="24"/>
          <w:szCs w:val="24"/>
        </w:rPr>
        <w:t>Gerasimov</w:t>
      </w:r>
      <w:proofErr w:type="spellEnd"/>
      <w:r w:rsidR="00402413" w:rsidRPr="00402413">
        <w:rPr>
          <w:sz w:val="24"/>
          <w:szCs w:val="24"/>
        </w:rPr>
        <w:t xml:space="preserve">, G. Petrova </w:t>
      </w:r>
      <w:proofErr w:type="spellStart"/>
      <w:r w:rsidR="00402413" w:rsidRPr="00402413">
        <w:rPr>
          <w:sz w:val="24"/>
          <w:szCs w:val="24"/>
        </w:rPr>
        <w:t>Cost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utility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analyses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of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open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hernia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operations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in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Bulgaria</w:t>
      </w:r>
      <w:proofErr w:type="spellEnd"/>
      <w:r w:rsidR="00402413" w:rsidRPr="00402413">
        <w:rPr>
          <w:sz w:val="24"/>
          <w:szCs w:val="24"/>
        </w:rPr>
        <w:t xml:space="preserve">. </w:t>
      </w:r>
      <w:proofErr w:type="spellStart"/>
      <w:r w:rsidR="00402413" w:rsidRPr="00402413">
        <w:rPr>
          <w:sz w:val="24"/>
          <w:szCs w:val="24"/>
        </w:rPr>
        <w:t>Slovenian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Journal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of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Public</w:t>
      </w:r>
      <w:proofErr w:type="spellEnd"/>
      <w:r w:rsidR="00402413" w:rsidRPr="00402413">
        <w:rPr>
          <w:sz w:val="24"/>
          <w:szCs w:val="24"/>
        </w:rPr>
        <w:t xml:space="preserve"> Health, 2020, </w:t>
      </w:r>
      <w:proofErr w:type="spellStart"/>
      <w:r w:rsidR="00402413" w:rsidRPr="00402413">
        <w:rPr>
          <w:sz w:val="24"/>
          <w:szCs w:val="24"/>
        </w:rPr>
        <w:t>submitted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for</w:t>
      </w:r>
      <w:proofErr w:type="spellEnd"/>
      <w:r w:rsidR="00402413" w:rsidRPr="00402413">
        <w:rPr>
          <w:sz w:val="24"/>
          <w:szCs w:val="24"/>
        </w:rPr>
        <w:t xml:space="preserve"> </w:t>
      </w:r>
      <w:proofErr w:type="spellStart"/>
      <w:r w:rsidR="00402413" w:rsidRPr="00402413">
        <w:rPr>
          <w:sz w:val="24"/>
          <w:szCs w:val="24"/>
        </w:rPr>
        <w:t>publication</w:t>
      </w:r>
      <w:proofErr w:type="spellEnd"/>
    </w:p>
    <w:p w14:paraId="12E0A842" w14:textId="7E9DEBF5" w:rsidR="00402413" w:rsidRPr="00402413" w:rsidRDefault="00402413" w:rsidP="0070075C">
      <w:pPr>
        <w:ind w:left="1134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proofErr w:type="spellStart"/>
      <w:r w:rsidRPr="00402413">
        <w:rPr>
          <w:sz w:val="24"/>
          <w:szCs w:val="24"/>
        </w:rPr>
        <w:t>ackground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Cost-utility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analysis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economic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evaluation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quality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results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a </w:t>
      </w:r>
      <w:proofErr w:type="spellStart"/>
      <w:r w:rsidRPr="00402413">
        <w:rPr>
          <w:sz w:val="24"/>
          <w:szCs w:val="24"/>
        </w:rPr>
        <w:t>conventional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elective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emergency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implanted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conducted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Methods</w:t>
      </w:r>
      <w:proofErr w:type="spellEnd"/>
      <w:r w:rsidRPr="00402413">
        <w:rPr>
          <w:sz w:val="24"/>
          <w:szCs w:val="24"/>
        </w:rPr>
        <w:t xml:space="preserve"> A t o </w:t>
      </w:r>
      <w:proofErr w:type="spellStart"/>
      <w:r w:rsidRPr="00402413">
        <w:rPr>
          <w:sz w:val="24"/>
          <w:szCs w:val="24"/>
        </w:rPr>
        <w:t>tal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68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interviewed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a EQ5D </w:t>
      </w:r>
      <w:proofErr w:type="spellStart"/>
      <w:r w:rsidRPr="00402413">
        <w:rPr>
          <w:sz w:val="24"/>
          <w:szCs w:val="24"/>
        </w:rPr>
        <w:t>questionnaire</w:t>
      </w:r>
      <w:proofErr w:type="spellEnd"/>
      <w:r w:rsidRPr="00402413">
        <w:rPr>
          <w:sz w:val="24"/>
          <w:szCs w:val="24"/>
        </w:rPr>
        <w:t xml:space="preserve">. Health </w:t>
      </w:r>
      <w:proofErr w:type="spellStart"/>
      <w:r w:rsidRPr="00402413">
        <w:rPr>
          <w:sz w:val="24"/>
          <w:szCs w:val="24"/>
        </w:rPr>
        <w:t>improvement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measured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qualityadjusted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life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years</w:t>
      </w:r>
      <w:proofErr w:type="spellEnd"/>
      <w:r w:rsidRPr="00402413">
        <w:rPr>
          <w:sz w:val="24"/>
          <w:szCs w:val="24"/>
        </w:rPr>
        <w:t xml:space="preserve"> (QALY).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calculated</w:t>
      </w:r>
      <w:proofErr w:type="spellEnd"/>
      <w:r w:rsidRPr="00402413">
        <w:rPr>
          <w:sz w:val="24"/>
          <w:szCs w:val="24"/>
        </w:rPr>
        <w:t xml:space="preserve"> QALY </w:t>
      </w:r>
      <w:proofErr w:type="spellStart"/>
      <w:r w:rsidRPr="00402413">
        <w:rPr>
          <w:sz w:val="24"/>
          <w:szCs w:val="24"/>
        </w:rPr>
        <w:t>for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0.858±0.05 CI</w:t>
      </w:r>
      <w:r>
        <w:rPr>
          <w:sz w:val="24"/>
          <w:szCs w:val="24"/>
          <w:lang w:val="en-US"/>
        </w:rPr>
        <w:t xml:space="preserve"> </w:t>
      </w:r>
      <w:r w:rsidRPr="00402413">
        <w:rPr>
          <w:sz w:val="24"/>
          <w:szCs w:val="24"/>
        </w:rPr>
        <w:t xml:space="preserve">(0.76–0.956),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0.808±0.1 CI(0.749–0.866). </w:t>
      </w:r>
      <w:proofErr w:type="spellStart"/>
      <w:r w:rsidRPr="00402413">
        <w:rPr>
          <w:sz w:val="24"/>
          <w:szCs w:val="24"/>
        </w:rPr>
        <w:t>Incremental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costeffectiveness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02413">
        <w:rPr>
          <w:sz w:val="24"/>
          <w:szCs w:val="24"/>
        </w:rPr>
        <w:t>ratio</w:t>
      </w:r>
      <w:proofErr w:type="spellEnd"/>
      <w:r w:rsidRPr="00402413">
        <w:rPr>
          <w:sz w:val="24"/>
          <w:szCs w:val="24"/>
        </w:rPr>
        <w:t xml:space="preserve"> (ICER)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calculated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conventional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elective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emergency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Deterministic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probabilisticsensitivity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analysis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were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applied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to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evaluate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changes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ICER </w:t>
      </w:r>
      <w:proofErr w:type="spellStart"/>
      <w:r w:rsidRPr="00402413">
        <w:rPr>
          <w:sz w:val="24"/>
          <w:szCs w:val="24"/>
        </w:rPr>
        <w:t>values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case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planned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emerged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inguinal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Results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Cost-utility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acceptability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02413">
        <w:rPr>
          <w:sz w:val="24"/>
          <w:szCs w:val="24"/>
        </w:rPr>
        <w:t>curve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constructed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results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showed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that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over</w:t>
      </w:r>
      <w:proofErr w:type="spellEnd"/>
      <w:r w:rsidRPr="00402413">
        <w:rPr>
          <w:sz w:val="24"/>
          <w:szCs w:val="24"/>
        </w:rPr>
        <w:t xml:space="preserve"> 1200 EUR </w:t>
      </w:r>
      <w:proofErr w:type="spellStart"/>
      <w:r w:rsidRPr="00402413">
        <w:rPr>
          <w:sz w:val="24"/>
          <w:szCs w:val="24"/>
        </w:rPr>
        <w:t>willingness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to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probability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planned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emergency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to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cost-effective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is</w:t>
      </w:r>
      <w:proofErr w:type="spellEnd"/>
      <w:r w:rsidRPr="00402413">
        <w:rPr>
          <w:sz w:val="24"/>
          <w:szCs w:val="24"/>
        </w:rPr>
        <w:t xml:space="preserve"> 53.6% </w:t>
      </w:r>
      <w:proofErr w:type="spellStart"/>
      <w:r w:rsidRPr="00402413">
        <w:rPr>
          <w:sz w:val="24"/>
          <w:szCs w:val="24"/>
        </w:rPr>
        <w:t>and</w:t>
      </w:r>
      <w:proofErr w:type="spellEnd"/>
      <w:r>
        <w:rPr>
          <w:sz w:val="24"/>
          <w:szCs w:val="24"/>
          <w:lang w:val="en-US"/>
        </w:rPr>
        <w:t xml:space="preserve"> </w:t>
      </w:r>
      <w:r w:rsidRPr="00402413">
        <w:rPr>
          <w:sz w:val="24"/>
          <w:szCs w:val="24"/>
        </w:rPr>
        <w:t xml:space="preserve">42.6% </w:t>
      </w:r>
      <w:proofErr w:type="spellStart"/>
      <w:r w:rsidRPr="00402413">
        <w:rPr>
          <w:sz w:val="24"/>
          <w:szCs w:val="24"/>
        </w:rPr>
        <w:t>respectively</w:t>
      </w:r>
      <w:proofErr w:type="spellEnd"/>
      <w:r w:rsidRPr="00402413">
        <w:rPr>
          <w:sz w:val="24"/>
          <w:szCs w:val="24"/>
        </w:rPr>
        <w:t>.</w:t>
      </w:r>
    </w:p>
    <w:p w14:paraId="1FEF6C25" w14:textId="2B137412" w:rsidR="00720051" w:rsidRDefault="00402413" w:rsidP="0070075C">
      <w:pPr>
        <w:ind w:left="1134"/>
        <w:rPr>
          <w:sz w:val="24"/>
          <w:szCs w:val="24"/>
          <w:lang w:val="en-US"/>
        </w:rPr>
      </w:pPr>
      <w:proofErr w:type="spellStart"/>
      <w:r w:rsidRPr="00402413">
        <w:rPr>
          <w:sz w:val="24"/>
          <w:szCs w:val="24"/>
        </w:rPr>
        <w:t>Conclusions</w:t>
      </w:r>
      <w:proofErr w:type="spellEnd"/>
      <w:r w:rsidRPr="00402413">
        <w:rPr>
          <w:sz w:val="24"/>
          <w:szCs w:val="24"/>
        </w:rPr>
        <w:t xml:space="preserve">: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results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favored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approa</w:t>
      </w:r>
      <w:r>
        <w:rPr>
          <w:sz w:val="24"/>
          <w:szCs w:val="24"/>
          <w:lang w:val="en-US"/>
        </w:rPr>
        <w:t>ch.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24588F7D" w14:textId="77777777" w:rsidR="00793F66" w:rsidRDefault="00793F66" w:rsidP="0070075C">
      <w:pPr>
        <w:ind w:left="1134"/>
        <w:rPr>
          <w:sz w:val="24"/>
          <w:szCs w:val="24"/>
          <w:lang w:val="en-US"/>
        </w:rPr>
      </w:pPr>
    </w:p>
    <w:p w14:paraId="6CB29D3B" w14:textId="7CF5CE63" w:rsidR="00402413" w:rsidRDefault="00402413" w:rsidP="0070075C">
      <w:pPr>
        <w:rPr>
          <w:sz w:val="24"/>
          <w:szCs w:val="24"/>
        </w:rPr>
      </w:pPr>
      <w:r w:rsidRPr="00402413">
        <w:rPr>
          <w:sz w:val="24"/>
          <w:szCs w:val="24"/>
        </w:rPr>
        <w:t>1</w:t>
      </w:r>
      <w:r w:rsidR="00793F66">
        <w:rPr>
          <w:sz w:val="24"/>
          <w:szCs w:val="24"/>
        </w:rPr>
        <w:t>6</w:t>
      </w:r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Doneva</w:t>
      </w:r>
      <w:proofErr w:type="spellEnd"/>
      <w:r w:rsidRPr="00402413">
        <w:rPr>
          <w:sz w:val="24"/>
          <w:szCs w:val="24"/>
        </w:rPr>
        <w:t xml:space="preserve"> M., M. </w:t>
      </w:r>
      <w:proofErr w:type="spellStart"/>
      <w:r w:rsidRPr="00402413">
        <w:rPr>
          <w:sz w:val="24"/>
          <w:szCs w:val="24"/>
        </w:rPr>
        <w:t>Kamusheva</w:t>
      </w:r>
      <w:proofErr w:type="spellEnd"/>
      <w:r w:rsidRPr="00402413">
        <w:rPr>
          <w:sz w:val="24"/>
          <w:szCs w:val="24"/>
        </w:rPr>
        <w:t xml:space="preserve">, G. Petrova, S. </w:t>
      </w:r>
      <w:proofErr w:type="spellStart"/>
      <w:r w:rsidRPr="00402413">
        <w:rPr>
          <w:sz w:val="24"/>
          <w:szCs w:val="24"/>
        </w:rPr>
        <w:t>Sopotensky</w:t>
      </w:r>
      <w:proofErr w:type="spellEnd"/>
      <w:r w:rsidRPr="00402413">
        <w:rPr>
          <w:sz w:val="24"/>
          <w:szCs w:val="24"/>
        </w:rPr>
        <w:t xml:space="preserve">, N. </w:t>
      </w:r>
      <w:proofErr w:type="spellStart"/>
      <w:r w:rsidRPr="00402413">
        <w:rPr>
          <w:sz w:val="24"/>
          <w:szCs w:val="24"/>
        </w:rPr>
        <w:t>Gerasimov</w:t>
      </w:r>
      <w:proofErr w:type="spellEnd"/>
      <w:r w:rsidRPr="00402413">
        <w:rPr>
          <w:sz w:val="24"/>
          <w:szCs w:val="24"/>
        </w:rPr>
        <w:t xml:space="preserve">.  </w:t>
      </w:r>
      <w:proofErr w:type="spellStart"/>
      <w:r w:rsidRPr="00402413">
        <w:rPr>
          <w:sz w:val="24"/>
          <w:szCs w:val="24"/>
        </w:rPr>
        <w:t>Evaluation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quality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life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implantation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polypropylene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– a </w:t>
      </w:r>
      <w:proofErr w:type="spellStart"/>
      <w:r w:rsidRPr="00402413">
        <w:rPr>
          <w:sz w:val="24"/>
          <w:szCs w:val="24"/>
        </w:rPr>
        <w:t>pilot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study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European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Surgery</w:t>
      </w:r>
      <w:proofErr w:type="spellEnd"/>
      <w:r w:rsidRPr="00402413">
        <w:rPr>
          <w:sz w:val="24"/>
          <w:szCs w:val="24"/>
        </w:rPr>
        <w:t xml:space="preserve">, 2020, </w:t>
      </w:r>
      <w:proofErr w:type="spellStart"/>
      <w:r w:rsidRPr="00402413">
        <w:rPr>
          <w:sz w:val="24"/>
          <w:szCs w:val="24"/>
        </w:rPr>
        <w:t>submitted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publication</w:t>
      </w:r>
      <w:proofErr w:type="spellEnd"/>
    </w:p>
    <w:p w14:paraId="3E07E488" w14:textId="2110B4F5" w:rsidR="00402413" w:rsidRPr="00402413" w:rsidRDefault="00402413" w:rsidP="0070075C">
      <w:pPr>
        <w:ind w:left="1134"/>
        <w:rPr>
          <w:sz w:val="24"/>
          <w:szCs w:val="24"/>
        </w:rPr>
      </w:pPr>
      <w:r w:rsidRPr="00402413">
        <w:rPr>
          <w:sz w:val="24"/>
          <w:szCs w:val="24"/>
        </w:rPr>
        <w:t xml:space="preserve">BACKGROUND: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present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pilot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study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evaluates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quality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life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Bulgarian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a </w:t>
      </w:r>
      <w:proofErr w:type="spellStart"/>
      <w:r w:rsidRPr="00402413">
        <w:rPr>
          <w:sz w:val="24"/>
          <w:szCs w:val="24"/>
        </w:rPr>
        <w:t>conventional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where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polypropylene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were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used</w:t>
      </w:r>
      <w:proofErr w:type="spellEnd"/>
      <w:r w:rsidRPr="004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2413">
        <w:rPr>
          <w:sz w:val="24"/>
          <w:szCs w:val="24"/>
        </w:rPr>
        <w:t xml:space="preserve">MATERIALS AND METHODS : 68 </w:t>
      </w:r>
      <w:proofErr w:type="spellStart"/>
      <w:r w:rsidRPr="00402413">
        <w:rPr>
          <w:sz w:val="24"/>
          <w:szCs w:val="24"/>
        </w:rPr>
        <w:t>planned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recovery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primary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recurrent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implanted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lightweight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polypropylene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were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included</w:t>
      </w:r>
      <w:proofErr w:type="spellEnd"/>
      <w:r w:rsidRPr="004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were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lastRenderedPageBreak/>
        <w:t>interviewed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</w:t>
      </w:r>
      <w:proofErr w:type="spellEnd"/>
      <w:r w:rsidRPr="00402413">
        <w:rPr>
          <w:sz w:val="24"/>
          <w:szCs w:val="24"/>
        </w:rPr>
        <w:t xml:space="preserve"> EQ5D </w:t>
      </w:r>
      <w:proofErr w:type="spellStart"/>
      <w:r w:rsidRPr="00402413">
        <w:rPr>
          <w:sz w:val="24"/>
          <w:szCs w:val="24"/>
        </w:rPr>
        <w:t>questionnaire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Visual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Analogues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Scale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Follow-up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each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patient's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results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performed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up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to</w:t>
      </w:r>
      <w:proofErr w:type="spellEnd"/>
      <w:r w:rsidRPr="00402413">
        <w:rPr>
          <w:sz w:val="24"/>
          <w:szCs w:val="24"/>
        </w:rPr>
        <w:t xml:space="preserve"> a </w:t>
      </w:r>
      <w:proofErr w:type="spellStart"/>
      <w:r w:rsidRPr="00402413">
        <w:rPr>
          <w:sz w:val="24"/>
          <w:szCs w:val="24"/>
        </w:rPr>
        <w:t>year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surgery</w:t>
      </w:r>
      <w:proofErr w:type="spellEnd"/>
      <w:r w:rsidRPr="004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2413">
        <w:rPr>
          <w:sz w:val="24"/>
          <w:szCs w:val="24"/>
        </w:rPr>
        <w:t xml:space="preserve">RESULTS : </w:t>
      </w:r>
      <w:proofErr w:type="spellStart"/>
      <w:r w:rsidRPr="00402413">
        <w:rPr>
          <w:sz w:val="24"/>
          <w:szCs w:val="24"/>
        </w:rPr>
        <w:t>Three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months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reported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only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presence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r w:rsidRPr="00402413">
        <w:rPr>
          <w:sz w:val="24"/>
          <w:szCs w:val="24"/>
        </w:rPr>
        <w:t xml:space="preserve">a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average</w:t>
      </w:r>
      <w:proofErr w:type="spellEnd"/>
      <w:r w:rsidRPr="00402413">
        <w:rPr>
          <w:sz w:val="24"/>
          <w:szCs w:val="24"/>
        </w:rPr>
        <w:t xml:space="preserve"> 24.5%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experience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mild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20.3% </w:t>
      </w:r>
      <w:proofErr w:type="spellStart"/>
      <w:r w:rsidRPr="00402413">
        <w:rPr>
          <w:sz w:val="24"/>
          <w:szCs w:val="24"/>
        </w:rPr>
        <w:t>severe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One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year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surgery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</w:t>
      </w:r>
      <w:proofErr w:type="spellEnd"/>
      <w:r w:rsidRPr="00402413">
        <w:rPr>
          <w:sz w:val="24"/>
          <w:szCs w:val="24"/>
        </w:rPr>
        <w:t xml:space="preserve"> group </w:t>
      </w:r>
      <w:proofErr w:type="spellStart"/>
      <w:r w:rsidRPr="00402413">
        <w:rPr>
          <w:sz w:val="24"/>
          <w:szCs w:val="24"/>
        </w:rPr>
        <w:t>mild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7.69%, </w:t>
      </w:r>
      <w:proofErr w:type="spellStart"/>
      <w:r w:rsidRPr="00402413">
        <w:rPr>
          <w:sz w:val="24"/>
          <w:szCs w:val="24"/>
        </w:rPr>
        <w:t>swelling</w:t>
      </w:r>
      <w:proofErr w:type="spellEnd"/>
      <w:r>
        <w:rPr>
          <w:sz w:val="24"/>
          <w:szCs w:val="24"/>
        </w:rPr>
        <w:t xml:space="preserve"> </w:t>
      </w:r>
      <w:r w:rsidRPr="00402413">
        <w:rPr>
          <w:sz w:val="24"/>
          <w:szCs w:val="24"/>
        </w:rPr>
        <w:t xml:space="preserve">3.84%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foreign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body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sensation</w:t>
      </w:r>
      <w:proofErr w:type="spellEnd"/>
      <w:r w:rsidRPr="00402413">
        <w:rPr>
          <w:sz w:val="24"/>
          <w:szCs w:val="24"/>
        </w:rPr>
        <w:t xml:space="preserve"> - 15.38%.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</w:t>
      </w:r>
      <w:proofErr w:type="spellEnd"/>
      <w:r w:rsidRPr="00402413">
        <w:rPr>
          <w:sz w:val="24"/>
          <w:szCs w:val="24"/>
        </w:rPr>
        <w:t xml:space="preserve"> group </w:t>
      </w:r>
      <w:proofErr w:type="spellStart"/>
      <w:r w:rsidRPr="00402413">
        <w:rPr>
          <w:sz w:val="24"/>
          <w:szCs w:val="24"/>
        </w:rPr>
        <w:t>reported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mild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6.69% </w:t>
      </w:r>
      <w:proofErr w:type="spellStart"/>
      <w:r w:rsidRPr="00402413">
        <w:rPr>
          <w:sz w:val="24"/>
          <w:szCs w:val="24"/>
        </w:rPr>
        <w:t>pulling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without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 - 13.33%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foreign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body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sensation</w:t>
      </w:r>
      <w:proofErr w:type="spellEnd"/>
      <w:r w:rsidRPr="00402413">
        <w:rPr>
          <w:sz w:val="24"/>
          <w:szCs w:val="24"/>
        </w:rPr>
        <w:t xml:space="preserve"> - 6.69% . </w:t>
      </w:r>
      <w:proofErr w:type="spellStart"/>
      <w:r w:rsidRPr="00402413"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no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statistically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significant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difference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level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according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to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used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</w:t>
      </w:r>
      <w:proofErr w:type="spellEnd"/>
      <w:r w:rsidRPr="004024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but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group </w:t>
      </w:r>
      <w:proofErr w:type="spellStart"/>
      <w:r w:rsidRPr="00402413">
        <w:rPr>
          <w:sz w:val="24"/>
          <w:szCs w:val="24"/>
        </w:rPr>
        <w:t>with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implanted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reported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problems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prevailed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At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end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survey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period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average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score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was</w:t>
      </w:r>
      <w:proofErr w:type="spellEnd"/>
      <w:r w:rsidRPr="00402413">
        <w:rPr>
          <w:sz w:val="24"/>
          <w:szCs w:val="24"/>
        </w:rPr>
        <w:t xml:space="preserve"> 84.39 ± 13.67.</w:t>
      </w:r>
      <w:r>
        <w:rPr>
          <w:sz w:val="24"/>
          <w:szCs w:val="24"/>
        </w:rPr>
        <w:t xml:space="preserve"> </w:t>
      </w:r>
      <w:r w:rsidRPr="00402413">
        <w:rPr>
          <w:sz w:val="24"/>
          <w:szCs w:val="24"/>
        </w:rPr>
        <w:t xml:space="preserve">CONCLUSIONS :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operation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leads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to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reduction</w:t>
      </w:r>
      <w:proofErr w:type="spellEnd"/>
      <w:r w:rsidRPr="00402413">
        <w:rPr>
          <w:sz w:val="24"/>
          <w:szCs w:val="24"/>
        </w:rPr>
        <w:t xml:space="preserve"> 1 </w:t>
      </w:r>
      <w:proofErr w:type="spellStart"/>
      <w:r w:rsidRPr="00402413">
        <w:rPr>
          <w:sz w:val="24"/>
          <w:szCs w:val="24"/>
        </w:rPr>
        <w:t>year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procedure</w:t>
      </w:r>
      <w:proofErr w:type="spellEnd"/>
      <w:r w:rsidRPr="004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intensity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chronic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one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year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after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surgery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relatively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similar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both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light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standard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conventional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inguinal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hernia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repair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differences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overall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quality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life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insignificant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long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run</w:t>
      </w:r>
      <w:proofErr w:type="spellEnd"/>
      <w:r w:rsidRPr="00402413">
        <w:rPr>
          <w:sz w:val="24"/>
          <w:szCs w:val="24"/>
        </w:rPr>
        <w:t xml:space="preserve">. </w:t>
      </w:r>
      <w:proofErr w:type="spellStart"/>
      <w:r w:rsidRPr="00402413">
        <w:rPr>
          <w:sz w:val="24"/>
          <w:szCs w:val="24"/>
        </w:rPr>
        <w:t>An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individualized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choice</w:t>
      </w:r>
      <w:proofErr w:type="spellEnd"/>
      <w:r w:rsidRPr="004024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based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on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patients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characteristics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safety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and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cost-effectiveness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of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meshes</w:t>
      </w:r>
      <w:proofErr w:type="spellEnd"/>
      <w:r w:rsidRPr="00402413">
        <w:rPr>
          <w:sz w:val="24"/>
          <w:szCs w:val="24"/>
        </w:rPr>
        <w:t xml:space="preserve">, </w:t>
      </w:r>
      <w:proofErr w:type="spellStart"/>
      <w:r w:rsidRPr="00402413"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done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by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the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healthcare</w:t>
      </w:r>
      <w:proofErr w:type="spellEnd"/>
      <w:r w:rsidRPr="00402413">
        <w:rPr>
          <w:sz w:val="24"/>
          <w:szCs w:val="24"/>
        </w:rPr>
        <w:t xml:space="preserve"> </w:t>
      </w:r>
      <w:proofErr w:type="spellStart"/>
      <w:r w:rsidRPr="00402413">
        <w:rPr>
          <w:sz w:val="24"/>
          <w:szCs w:val="24"/>
        </w:rPr>
        <w:t>specialists</w:t>
      </w:r>
      <w:proofErr w:type="spellEnd"/>
      <w:r w:rsidRPr="00402413">
        <w:rPr>
          <w:sz w:val="24"/>
          <w:szCs w:val="24"/>
        </w:rPr>
        <w:t>.</w:t>
      </w:r>
    </w:p>
    <w:sectPr w:rsidR="00402413" w:rsidRPr="0040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13"/>
    <w:rsid w:val="00003179"/>
    <w:rsid w:val="00241ADC"/>
    <w:rsid w:val="0025517F"/>
    <w:rsid w:val="00402413"/>
    <w:rsid w:val="0070075C"/>
    <w:rsid w:val="00720051"/>
    <w:rsid w:val="007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944"/>
  <w15:chartTrackingRefBased/>
  <w15:docId w15:val="{15216CAB-85A4-425A-A782-7A4C6F3A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guenka petrova</dc:creator>
  <cp:keywords/>
  <dc:description/>
  <cp:lastModifiedBy>guenka petrova</cp:lastModifiedBy>
  <cp:revision>2</cp:revision>
  <dcterms:created xsi:type="dcterms:W3CDTF">2020-09-06T05:03:00Z</dcterms:created>
  <dcterms:modified xsi:type="dcterms:W3CDTF">2020-09-17T07:17:00Z</dcterms:modified>
</cp:coreProperties>
</file>